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720"/>
        <w:jc w:val="both"/>
      </w:pPr>
      <w:r>
        <w:rPr>
          <w:sz w:val="22"/>
        </w:rPr>
        <w:t xml:space="preserve">                                                                                           УТВЕРЖДАЮ:</w:t>
      </w:r>
    </w:p>
    <w:p w14:paraId="02000000">
      <w:pPr>
        <w:pStyle w:val="Style_1"/>
        <w:ind/>
        <w:jc w:val="both"/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2"/>
        </w:rPr>
        <w:t>И.о.директора</w:t>
      </w:r>
    </w:p>
    <w:p w14:paraId="03000000">
      <w:pPr>
        <w:pStyle w:val="Style_1"/>
        <w:ind/>
        <w:jc w:val="both"/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КОГАУ «ЦООД «Вятские каникулы»</w:t>
      </w:r>
    </w:p>
    <w:p w14:paraId="04000000">
      <w:pPr>
        <w:pStyle w:val="Style_1"/>
        <w:ind/>
        <w:jc w:val="both"/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___________________ </w:t>
      </w:r>
      <w:r>
        <w:rPr>
          <w:rFonts w:ascii="Times New Roman" w:hAnsi="Times New Roman"/>
          <w:sz w:val="22"/>
        </w:rPr>
        <w:t>И.В. Ларионов</w:t>
      </w:r>
    </w:p>
    <w:p w14:paraId="05000000">
      <w:pPr>
        <w:pStyle w:val="Style_1"/>
        <w:ind w:firstLine="0" w:left="0"/>
        <w:jc w:val="both"/>
        <w:rPr>
          <w:b w:val="1"/>
          <w:sz w:val="22"/>
        </w:rPr>
      </w:pPr>
    </w:p>
    <w:p w14:paraId="06000000">
      <w:pPr>
        <w:ind/>
        <w:jc w:val="center"/>
      </w:pPr>
      <w:r>
        <w:rPr>
          <w:b w:val="1"/>
          <w:sz w:val="22"/>
        </w:rPr>
        <w:t>Техническая часть (аукционное задание)</w:t>
      </w:r>
    </w:p>
    <w:p w14:paraId="07000000">
      <w:pPr>
        <w:ind/>
        <w:jc w:val="center"/>
      </w:pPr>
      <w:r>
        <w:rPr>
          <w:b w:val="1"/>
          <w:sz w:val="22"/>
        </w:rPr>
        <w:t xml:space="preserve">Поставка общестроительных материалов </w:t>
      </w:r>
    </w:p>
    <w:p w14:paraId="08000000">
      <w:pPr>
        <w:ind/>
        <w:jc w:val="center"/>
        <w:rPr>
          <w:b w:val="1"/>
        </w:rPr>
      </w:pPr>
    </w:p>
    <w:tbl>
      <w:tblPr>
        <w:tblStyle w:val="Style_2"/>
        <w:tblInd w:type="dxa" w:w="-485"/>
        <w:tblLayout w:type="fixed"/>
        <w:tblCellMar>
          <w:left w:type="dxa" w:w="103"/>
        </w:tblCellMar>
      </w:tblPr>
      <w:tblGrid>
        <w:gridCol w:w="725"/>
        <w:gridCol w:w="2552"/>
        <w:gridCol w:w="4769"/>
        <w:gridCol w:w="1042"/>
        <w:gridCol w:w="1003"/>
      </w:tblGrid>
      <w:tr>
        <w:trPr>
          <w:trHeight w:hRule="atLeast" w:val="545"/>
        </w:trPr>
        <w:tc>
          <w:tcPr>
            <w:tcW w:type="dxa" w:w="72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09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№ </w:t>
            </w:r>
          </w:p>
          <w:p w14:paraId="0A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п/п</w:t>
            </w:r>
          </w:p>
        </w:tc>
        <w:tc>
          <w:tcPr>
            <w:tcW w:type="dxa" w:w="2552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0B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Наименование товара</w:t>
            </w:r>
          </w:p>
        </w:tc>
        <w:tc>
          <w:tcPr>
            <w:tcW w:type="dxa" w:w="4769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0C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Требования к характеристикам товара </w:t>
            </w:r>
          </w:p>
        </w:tc>
        <w:tc>
          <w:tcPr>
            <w:tcW w:type="dxa" w:w="1042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0D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Ед. изм.</w:t>
            </w:r>
          </w:p>
        </w:tc>
        <w:tc>
          <w:tcPr>
            <w:tcW w:type="dxa" w:w="10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0E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Кол-во</w:t>
            </w:r>
          </w:p>
        </w:tc>
      </w:tr>
      <w:tr>
        <w:trPr>
          <w:trHeight w:hRule="atLeast" w:val="3186"/>
        </w:trPr>
        <w:tc>
          <w:tcPr>
            <w:tcW w:type="dxa" w:w="72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0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552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1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Гипсокартоновый лист</w:t>
            </w:r>
            <w:r>
              <w:rPr>
                <w:sz w:val="22"/>
              </w:rPr>
              <w:t xml:space="preserve"> (ГКЛВ)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4769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11000000">
            <w:pPr>
              <w:pStyle w:val="Style_3"/>
              <w:spacing w:after="0" w:before="0"/>
              <w:ind w:right="-3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t>Соответствует ГОСТ 6266-97.</w:t>
            </w:r>
          </w:p>
          <w:p w14:paraId="12000000">
            <w:pPr>
              <w:pStyle w:val="Style_3"/>
              <w:spacing w:after="0" w:before="0"/>
              <w:ind w:right="-2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t>Толщина: не менее 12,5 мм.</w:t>
            </w: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t>Ширина: не менее 1200 мм.</w:t>
            </w: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t>Длина: не менее 2500 мм.</w:t>
            </w: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t>Цвет гипсокартона: зеленый.</w:t>
            </w:r>
          </w:p>
          <w:p w14:paraId="13000000">
            <w:pPr>
              <w:pStyle w:val="Style_3"/>
              <w:spacing w:after="0" w:before="0"/>
              <w:ind w:right="-2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t>Тип: влагостойкий</w:t>
            </w: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t>Тип кромки: полукруглая утоненная.</w:t>
            </w: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b w:val="0"/>
                <w:i w:val="1"/>
                <w:color w:val="000000"/>
                <w:sz w:val="22"/>
                <w:highlight w:val="white"/>
              </w:rPr>
              <w:t>Пожарно-технические характеристики:</w:t>
            </w: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t>- группа горючести: Г1;</w:t>
            </w: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t>- степень воспламеняемости: В3;</w:t>
            </w: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t>- дымообразующая способность: Д1;</w:t>
            </w: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br/>
            </w: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t>- уровень токсичности: Т1.</w:t>
            </w:r>
          </w:p>
        </w:tc>
        <w:tc>
          <w:tcPr>
            <w:tcW w:type="dxa" w:w="1042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14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лист</w:t>
            </w:r>
          </w:p>
        </w:tc>
        <w:tc>
          <w:tcPr>
            <w:tcW w:type="dxa" w:w="10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15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</w:tr>
      <w:tr>
        <w:trPr>
          <w:trHeight w:hRule="atLeast" w:val="2678"/>
        </w:trPr>
        <w:tc>
          <w:tcPr>
            <w:tcW w:type="dxa" w:w="725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16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2552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1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Гипсоволокно (ГВЛ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)</w:t>
            </w:r>
          </w:p>
        </w:tc>
        <w:tc>
          <w:tcPr>
            <w:tcW w:type="dxa" w:w="4769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18000000">
            <w:pPr>
              <w:pStyle w:val="Style_3"/>
              <w:spacing w:after="0" w:before="0"/>
              <w:ind w:right="-30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highlight w:val="white"/>
              </w:rPr>
              <w:t xml:space="preserve">Соответствует ГОСТ 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Р 51829-2001</w:t>
            </w:r>
          </w:p>
          <w:p w14:paraId="19000000">
            <w:pPr>
              <w:pStyle w:val="Style_4"/>
              <w:spacing w:after="0" w:line="240" w:lineRule="auto"/>
              <w:ind/>
              <w:rPr>
                <w:i w:val="1"/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  <w:t xml:space="preserve">Толщина: не менее </w:t>
            </w:r>
            <w:r>
              <w:rPr>
                <w:color w:val="000000"/>
                <w:sz w:val="22"/>
                <w:highlight w:val="white"/>
              </w:rPr>
              <w:t>10</w:t>
            </w:r>
            <w:r>
              <w:rPr>
                <w:color w:val="000000"/>
                <w:sz w:val="22"/>
                <w:highlight w:val="white"/>
              </w:rPr>
              <w:t xml:space="preserve"> мм.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Ширина: не менее 1200 мм.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Длина: не менее 2500 мм.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Тип: влагостойкий</w:t>
            </w:r>
            <w:r>
              <w:rPr>
                <w:i w:val="1"/>
                <w:color w:val="000000"/>
                <w:sz w:val="22"/>
                <w:highlight w:val="white"/>
              </w:rPr>
              <w:t xml:space="preserve"> </w:t>
            </w:r>
          </w:p>
          <w:p w14:paraId="1A000000">
            <w:pPr>
              <w:pStyle w:val="Style_3"/>
              <w:spacing w:after="0" w:before="0"/>
              <w:ind w:right="-30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Тип кромки - прямая</w:t>
            </w:r>
          </w:p>
          <w:p w14:paraId="1B000000">
            <w:pPr>
              <w:pStyle w:val="Style_4"/>
              <w:spacing w:after="0" w:line="240" w:lineRule="auto"/>
              <w:ind/>
              <w:rPr>
                <w:color w:val="000000"/>
                <w:sz w:val="22"/>
                <w:highlight w:val="white"/>
              </w:rPr>
            </w:pPr>
            <w:r>
              <w:rPr>
                <w:i w:val="1"/>
                <w:color w:val="000000"/>
                <w:sz w:val="22"/>
                <w:highlight w:val="white"/>
              </w:rPr>
              <w:t>Пожарно-технические характеристики: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 xml:space="preserve">- группа горючести: </w:t>
            </w:r>
            <w:r>
              <w:rPr>
                <w:color w:val="000000"/>
                <w:sz w:val="22"/>
                <w:highlight w:val="white"/>
              </w:rPr>
              <w:t>Г1;</w:t>
            </w:r>
          </w:p>
          <w:p w14:paraId="1C000000">
            <w:pPr>
              <w:pStyle w:val="Style_4"/>
              <w:spacing w:after="0" w:line="240" w:lineRule="auto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- степень воспламеняемости: В</w:t>
            </w:r>
            <w:r>
              <w:rPr>
                <w:color w:val="000000"/>
                <w:sz w:val="22"/>
                <w:highlight w:val="white"/>
              </w:rPr>
              <w:t>1</w:t>
            </w:r>
            <w:r>
              <w:rPr>
                <w:color w:val="000000"/>
                <w:sz w:val="22"/>
                <w:highlight w:val="white"/>
              </w:rPr>
              <w:t>;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- дымообразующая способность: Д1;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- уровень токсичности: Т1.</w:t>
            </w:r>
          </w:p>
        </w:tc>
        <w:tc>
          <w:tcPr>
            <w:tcW w:type="dxa" w:w="1042"/>
            <w:tcBorders>
              <w:left w:color="00000A" w:sz="4" w:val="single"/>
              <w:bottom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1D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лист</w:t>
            </w:r>
          </w:p>
        </w:tc>
        <w:tc>
          <w:tcPr>
            <w:tcW w:type="dxa" w:w="1003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left w:type="dxa" w:w="103"/>
            </w:tcMar>
            <w:vAlign w:val="center"/>
          </w:tcPr>
          <w:p w14:paraId="1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</w:t>
            </w:r>
          </w:p>
        </w:tc>
      </w:tr>
    </w:tbl>
    <w:p w14:paraId="1F000000">
      <w:pPr>
        <w:ind w:firstLine="141" w:left="-567"/>
        <w:rPr>
          <w:sz w:val="22"/>
        </w:rPr>
      </w:pPr>
    </w:p>
    <w:p w14:paraId="20000000">
      <w:pPr>
        <w:spacing w:before="120"/>
        <w:ind/>
        <w:rPr>
          <w:sz w:val="22"/>
        </w:rPr>
      </w:pPr>
      <w:r>
        <w:rPr>
          <w:sz w:val="22"/>
        </w:rPr>
        <w:t>Доставка осуществляется в ДОЛ:</w:t>
      </w:r>
    </w:p>
    <w:p w14:paraId="21000000">
      <w:pPr>
        <w:widowControl w:val="0"/>
        <w:tabs>
          <w:tab w:leader="none" w:pos="706" w:val="left"/>
          <w:tab w:leader="underscore" w:pos="9382" w:val="left"/>
        </w:tabs>
        <w:spacing w:before="120"/>
        <w:ind w:firstLine="0" w:left="57"/>
        <w:jc w:val="both"/>
        <w:rPr>
          <w:sz w:val="22"/>
        </w:rPr>
      </w:pPr>
      <w:r>
        <w:rPr>
          <w:sz w:val="22"/>
        </w:rPr>
        <w:t>- ДОЛ «Мир», Кировская область, Юрьянский район, пгт. Мурыгино (1,5 км от пгт «Мурыгино»);</w:t>
      </w:r>
    </w:p>
    <w:p w14:paraId="22000000">
      <w:pPr>
        <w:widowControl w:val="0"/>
        <w:tabs>
          <w:tab w:leader="none" w:pos="706" w:val="left"/>
          <w:tab w:leader="underscore" w:pos="9382" w:val="left"/>
        </w:tabs>
        <w:ind w:firstLine="0" w:left="57"/>
        <w:jc w:val="both"/>
        <w:rPr>
          <w:sz w:val="22"/>
        </w:rPr>
      </w:pPr>
      <w:r>
        <w:rPr>
          <w:sz w:val="22"/>
        </w:rPr>
        <w:t>- ДОЛ «Березка», Кировская область, Кирово-Чепецкий район, Пасеговское с/п (28 км по Советскому тракту);</w:t>
      </w:r>
    </w:p>
    <w:p w14:paraId="23000000">
      <w:pPr>
        <w:tabs>
          <w:tab w:leader="none" w:pos="9355" w:val="left"/>
          <w:tab w:leader="none" w:pos="9498" w:val="left"/>
        </w:tabs>
        <w:ind w:firstLine="0" w:left="57"/>
        <w:jc w:val="both"/>
        <w:rPr>
          <w:sz w:val="22"/>
        </w:rPr>
      </w:pPr>
      <w:r>
        <w:rPr>
          <w:sz w:val="22"/>
        </w:rPr>
        <w:t>- ДОЛ «Орленок», г. Киров, Октябрьский район, д. Башарово;</w:t>
      </w:r>
    </w:p>
    <w:p w14:paraId="24000000">
      <w:pPr>
        <w:tabs>
          <w:tab w:leader="none" w:pos="9355" w:val="left"/>
          <w:tab w:leader="none" w:pos="9498" w:val="left"/>
        </w:tabs>
        <w:ind w:firstLine="0" w:left="57"/>
        <w:jc w:val="both"/>
        <w:rPr>
          <w:sz w:val="22"/>
        </w:rPr>
      </w:pPr>
      <w:r>
        <w:rPr>
          <w:sz w:val="22"/>
        </w:rPr>
        <w:t>- ДОЛ «Строитель», г. Киров, Октябрьский район, д. Башарово;</w:t>
      </w:r>
    </w:p>
    <w:p w14:paraId="25000000">
      <w:pPr>
        <w:widowControl w:val="0"/>
        <w:tabs>
          <w:tab w:leader="none" w:pos="9355" w:val="left"/>
          <w:tab w:leader="none" w:pos="9498" w:val="left"/>
        </w:tabs>
        <w:ind w:firstLine="0" w:left="57"/>
        <w:jc w:val="both"/>
        <w:rPr>
          <w:color w:val="000000"/>
          <w:sz w:val="22"/>
        </w:rPr>
      </w:pPr>
      <w:r>
        <w:rPr>
          <w:color w:val="000000"/>
          <w:sz w:val="22"/>
        </w:rPr>
        <w:t>- ДОЛ «Живая вода», Кировская область, Юрьянский район, Великорецкое с/п, д. Агалаченки;</w:t>
      </w:r>
    </w:p>
    <w:p w14:paraId="26000000">
      <w:pPr>
        <w:widowControl w:val="0"/>
        <w:tabs>
          <w:tab w:leader="none" w:pos="9355" w:val="left"/>
          <w:tab w:leader="none" w:pos="9498" w:val="left"/>
        </w:tabs>
        <w:ind w:firstLine="0" w:left="57"/>
        <w:jc w:val="both"/>
        <w:rPr>
          <w:sz w:val="22"/>
        </w:rPr>
      </w:pPr>
      <w:r>
        <w:rPr>
          <w:sz w:val="22"/>
        </w:rPr>
        <w:t>- ДОЛ «Луч», Кировская область, Слободской район, д. Заборье.</w:t>
      </w:r>
    </w:p>
    <w:p w14:paraId="27000000">
      <w:pPr>
        <w:rPr>
          <w:sz w:val="22"/>
        </w:rPr>
      </w:pPr>
    </w:p>
    <w:p w14:paraId="28000000">
      <w:pPr>
        <w:rPr>
          <w:sz w:val="22"/>
        </w:rPr>
      </w:pPr>
    </w:p>
    <w:p w14:paraId="29000000">
      <w:pPr>
        <w:rPr>
          <w:sz w:val="22"/>
        </w:rPr>
      </w:pPr>
      <w:r>
        <w:rPr>
          <w:sz w:val="22"/>
        </w:rPr>
        <w:t>Исполнитель: заместитель начальника управления по эксплуатации и ремонтам</w:t>
      </w:r>
      <w:r>
        <w:rPr>
          <w:sz w:val="22"/>
        </w:rPr>
        <w:t xml:space="preserve"> - </w:t>
      </w:r>
      <w:r>
        <w:rPr>
          <w:sz w:val="22"/>
        </w:rPr>
        <w:t>Парфенюк Татьяна Николаевна</w:t>
      </w:r>
      <w:r>
        <w:rPr>
          <w:sz w:val="22"/>
        </w:rPr>
        <w:t>, 8 (8332) 410-456 доб. 211</w:t>
      </w:r>
    </w:p>
    <w:p w14:paraId="2A000000">
      <w:pPr>
        <w:rPr>
          <w:sz w:val="22"/>
        </w:rPr>
      </w:pPr>
    </w:p>
    <w:p w14:paraId="2B000000">
      <w:pPr>
        <w:rPr>
          <w:sz w:val="22"/>
        </w:rPr>
      </w:pPr>
    </w:p>
    <w:p w14:paraId="2C000000">
      <w:pPr>
        <w:rPr>
          <w:sz w:val="22"/>
        </w:rPr>
      </w:pPr>
      <w:r>
        <w:rPr>
          <w:sz w:val="22"/>
        </w:rPr>
        <w:t xml:space="preserve">Составил: инженер по ремонту Гордеева Марина Алексеевна </w:t>
      </w:r>
    </w:p>
    <w:sectPr>
      <w:pgSz w:h="16838" w:orient="portrait" w:w="11906"/>
      <w:pgMar w:bottom="790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color w:val="00000A"/>
      <w:sz w:val="24"/>
    </w:rPr>
  </w:style>
  <w:style w:default="1" w:styleId="Style_5_ch" w:type="character">
    <w:name w:val="Normal"/>
    <w:link w:val="Style_5"/>
    <w:rPr>
      <w:color w:val="00000A"/>
      <w:sz w:val="24"/>
    </w:rPr>
  </w:style>
  <w:style w:styleId="Style_6" w:type="paragraph">
    <w:name w:val="Название объекта3"/>
    <w:basedOn w:val="Style_5"/>
    <w:link w:val="Style_6_ch"/>
    <w:pPr>
      <w:spacing w:after="120" w:before="120"/>
      <w:ind/>
    </w:pPr>
    <w:rPr>
      <w:i w:val="1"/>
      <w:sz w:val="24"/>
    </w:rPr>
  </w:style>
  <w:style w:styleId="Style_6_ch" w:type="character">
    <w:name w:val="Название объекта3"/>
    <w:basedOn w:val="Style_5_ch"/>
    <w:link w:val="Style_6"/>
    <w:rPr>
      <w:i w:val="1"/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1z1"/>
    <w:link w:val="Style_8_ch"/>
  </w:style>
  <w:style w:styleId="Style_8_ch" w:type="character">
    <w:name w:val="WW8Num1z1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Содержимое таблицы"/>
    <w:basedOn w:val="Style_5"/>
    <w:link w:val="Style_10_ch"/>
  </w:style>
  <w:style w:styleId="Style_10_ch" w:type="character">
    <w:name w:val="Содержимое таблицы"/>
    <w:basedOn w:val="Style_5_ch"/>
    <w:link w:val="Style_10"/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WW8Num1z4"/>
    <w:link w:val="Style_13_ch"/>
  </w:style>
  <w:style w:styleId="Style_13_ch" w:type="character">
    <w:name w:val="WW8Num1z4"/>
    <w:link w:val="Style_13"/>
  </w:style>
  <w:style w:styleId="Style_14" w:type="paragraph">
    <w:name w:val="Указатель2"/>
    <w:basedOn w:val="Style_5"/>
    <w:link w:val="Style_14_ch"/>
  </w:style>
  <w:style w:styleId="Style_14_ch" w:type="character">
    <w:name w:val="Указатель2"/>
    <w:basedOn w:val="Style_5_ch"/>
    <w:link w:val="Style_14"/>
  </w:style>
  <w:style w:styleId="Style_15" w:type="paragraph">
    <w:name w:val="Основной шрифт абзаца3"/>
    <w:link w:val="Style_15_ch"/>
  </w:style>
  <w:style w:styleId="Style_15_ch" w:type="character">
    <w:name w:val="Основной шрифт абзаца3"/>
    <w:link w:val="Style_15"/>
  </w:style>
  <w:style w:styleId="Style_16" w:type="paragraph">
    <w:name w:val="Указатель3"/>
    <w:basedOn w:val="Style_5"/>
    <w:link w:val="Style_16_ch"/>
  </w:style>
  <w:style w:styleId="Style_16_ch" w:type="character">
    <w:name w:val="Указатель3"/>
    <w:basedOn w:val="Style_5_ch"/>
    <w:link w:val="Style_16"/>
  </w:style>
  <w:style w:styleId="Style_17" w:type="paragraph">
    <w:name w:val="heading 3"/>
    <w:next w:val="Style_5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WW8Num1z2"/>
    <w:link w:val="Style_18_ch"/>
  </w:style>
  <w:style w:styleId="Style_18_ch" w:type="character">
    <w:name w:val="WW8Num1z2"/>
    <w:link w:val="Style_18"/>
  </w:style>
  <w:style w:styleId="Style_19" w:type="paragraph">
    <w:name w:val="WW8Num1z5"/>
    <w:link w:val="Style_19_ch"/>
  </w:style>
  <w:style w:styleId="Style_19_ch" w:type="character">
    <w:name w:val="WW8Num1z5"/>
    <w:link w:val="Style_19"/>
  </w:style>
  <w:style w:styleId="Style_20" w:type="paragraph">
    <w:name w:val="Заголовок1"/>
    <w:basedOn w:val="Style_5"/>
    <w:next w:val="Style_4"/>
    <w:link w:val="Style_2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0_ch" w:type="character">
    <w:name w:val="Заголовок1"/>
    <w:basedOn w:val="Style_5_ch"/>
    <w:link w:val="Style_20"/>
    <w:rPr>
      <w:rFonts w:ascii="Liberation Sans" w:hAnsi="Liberation San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Название объекта1"/>
    <w:basedOn w:val="Style_5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Название объекта1"/>
    <w:basedOn w:val="Style_5_ch"/>
    <w:link w:val="Style_22"/>
    <w:rPr>
      <w:i w:val="1"/>
      <w:sz w:val="24"/>
    </w:rPr>
  </w:style>
  <w:style w:styleId="Style_23" w:type="paragraph">
    <w:name w:val="List"/>
    <w:basedOn w:val="Style_4"/>
    <w:link w:val="Style_23_ch"/>
  </w:style>
  <w:style w:styleId="Style_23_ch" w:type="character">
    <w:name w:val="List"/>
    <w:basedOn w:val="Style_4_ch"/>
    <w:link w:val="Style_23"/>
  </w:style>
  <w:style w:styleId="Style_24" w:type="paragraph">
    <w:name w:val="Указатель1"/>
    <w:basedOn w:val="Style_5"/>
    <w:link w:val="Style_24_ch"/>
  </w:style>
  <w:style w:styleId="Style_24_ch" w:type="character">
    <w:name w:val="Указатель1"/>
    <w:basedOn w:val="Style_5_ch"/>
    <w:link w:val="Style_24"/>
  </w:style>
  <w:style w:styleId="Style_25" w:type="paragraph">
    <w:name w:val="Заголовок3"/>
    <w:basedOn w:val="Style_5"/>
    <w:next w:val="Style_4"/>
    <w:link w:val="Style_2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5_ch" w:type="character">
    <w:name w:val="Заголовок3"/>
    <w:basedOn w:val="Style_5_ch"/>
    <w:link w:val="Style_25"/>
    <w:rPr>
      <w:rFonts w:ascii="Liberation Sans" w:hAnsi="Liberation Sans"/>
      <w:sz w:val="28"/>
    </w:rPr>
  </w:style>
  <w:style w:styleId="Style_26" w:type="paragraph">
    <w:name w:val="toc 3"/>
    <w:next w:val="Style_5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index heading"/>
    <w:basedOn w:val="Style_5"/>
    <w:link w:val="Style_27_ch"/>
  </w:style>
  <w:style w:styleId="Style_27_ch" w:type="character">
    <w:name w:val="index heading"/>
    <w:basedOn w:val="Style_5_ch"/>
    <w:link w:val="Style_27"/>
  </w:style>
  <w:style w:styleId="Style_28" w:type="paragraph">
    <w:name w:val="heading 5"/>
    <w:next w:val="Style_5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Название объекта2"/>
    <w:basedOn w:val="Style_5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Название объекта2"/>
    <w:basedOn w:val="Style_5_ch"/>
    <w:link w:val="Style_29"/>
    <w:rPr>
      <w:i w:val="1"/>
      <w:sz w:val="24"/>
    </w:rPr>
  </w:style>
  <w:style w:styleId="Style_30" w:type="paragraph">
    <w:name w:val="No Spacing"/>
    <w:link w:val="Style_30_ch"/>
    <w:rPr>
      <w:rFonts w:ascii="Calibri" w:hAnsi="Calibri"/>
      <w:color w:val="00000A"/>
      <w:sz w:val="24"/>
    </w:rPr>
  </w:style>
  <w:style w:styleId="Style_30_ch" w:type="character">
    <w:name w:val="No Spacing"/>
    <w:link w:val="Style_30"/>
    <w:rPr>
      <w:rFonts w:ascii="Calibri" w:hAnsi="Calibri"/>
      <w:color w:val="00000A"/>
      <w:sz w:val="24"/>
    </w:rPr>
  </w:style>
  <w:style w:styleId="Style_4" w:type="paragraph">
    <w:name w:val="Body Text"/>
    <w:basedOn w:val="Style_5"/>
    <w:link w:val="Style_4_ch"/>
    <w:pPr>
      <w:spacing w:after="140" w:before="0" w:line="276" w:lineRule="auto"/>
      <w:ind/>
    </w:pPr>
  </w:style>
  <w:style w:styleId="Style_4_ch" w:type="character">
    <w:name w:val="Body Text"/>
    <w:basedOn w:val="Style_5_ch"/>
    <w:link w:val="Style_4"/>
  </w:style>
  <w:style w:styleId="Style_3" w:type="paragraph">
    <w:name w:val="heading 1"/>
    <w:basedOn w:val="Style_20"/>
    <w:next w:val="Style_4"/>
    <w:link w:val="Style_3_ch"/>
    <w:uiPriority w:val="9"/>
    <w:qFormat/>
    <w:pPr>
      <w:numPr>
        <w:ilvl w:val="0"/>
        <w:numId w:val="1"/>
      </w:numPr>
      <w:spacing w:after="120" w:before="240"/>
      <w:ind/>
      <w:outlineLvl w:val="0"/>
    </w:pPr>
    <w:rPr>
      <w:rFonts w:ascii="Liberation Serif" w:hAnsi="Liberation Serif"/>
      <w:b w:val="1"/>
      <w:sz w:val="48"/>
    </w:rPr>
  </w:style>
  <w:style w:styleId="Style_3_ch" w:type="character">
    <w:name w:val="heading 1"/>
    <w:basedOn w:val="Style_20_ch"/>
    <w:link w:val="Style_3"/>
    <w:rPr>
      <w:rFonts w:ascii="Liberation Serif" w:hAnsi="Liberation Serif"/>
      <w:b w:val="1"/>
      <w:sz w:val="48"/>
    </w:rPr>
  </w:style>
  <w:style w:styleId="Style_31" w:type="paragraph">
    <w:name w:val="Текст выноски Знак"/>
    <w:link w:val="Style_31_ch"/>
    <w:rPr>
      <w:rFonts w:ascii="Segoe UI" w:hAnsi="Segoe UI"/>
      <w:color w:val="00000A"/>
      <w:sz w:val="18"/>
    </w:rPr>
  </w:style>
  <w:style w:styleId="Style_31_ch" w:type="character">
    <w:name w:val="Текст выноски Знак"/>
    <w:link w:val="Style_31"/>
    <w:rPr>
      <w:rFonts w:ascii="Segoe UI" w:hAnsi="Segoe UI"/>
      <w:color w:val="00000A"/>
      <w:sz w:val="18"/>
    </w:rPr>
  </w:style>
  <w:style w:styleId="Style_32" w:type="paragraph">
    <w:name w:val="No Spacing"/>
    <w:link w:val="Style_32_ch"/>
    <w:rPr>
      <w:rFonts w:ascii="Calibri" w:hAnsi="Calibri"/>
      <w:color w:val="00000A"/>
      <w:sz w:val="24"/>
    </w:rPr>
  </w:style>
  <w:style w:styleId="Style_32_ch" w:type="character">
    <w:name w:val="No Spacing"/>
    <w:link w:val="Style_32"/>
    <w:rPr>
      <w:rFonts w:ascii="Calibri" w:hAnsi="Calibri"/>
      <w:color w:val="00000A"/>
      <w:sz w:val="24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5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9"/>
    <w:next w:val="Style_5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Заголовок таблицы"/>
    <w:basedOn w:val="Style_10"/>
    <w:link w:val="Style_38_ch"/>
    <w:pPr>
      <w:ind/>
      <w:jc w:val="center"/>
    </w:pPr>
    <w:rPr>
      <w:b w:val="1"/>
    </w:rPr>
  </w:style>
  <w:style w:styleId="Style_38_ch" w:type="character">
    <w:name w:val="Заголовок таблицы"/>
    <w:basedOn w:val="Style_10_ch"/>
    <w:link w:val="Style_38"/>
    <w:rPr>
      <w:b w:val="1"/>
    </w:rPr>
  </w:style>
  <w:style w:styleId="Style_39" w:type="paragraph">
    <w:name w:val="toc 8"/>
    <w:next w:val="Style_5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WW8Num1z0"/>
    <w:link w:val="Style_40_ch"/>
  </w:style>
  <w:style w:styleId="Style_40_ch" w:type="character">
    <w:name w:val="WW8Num1z0"/>
    <w:link w:val="Style_40"/>
  </w:style>
  <w:style w:styleId="Style_41" w:type="paragraph">
    <w:name w:val="Balloon Text"/>
    <w:basedOn w:val="Style_5"/>
    <w:link w:val="Style_41_ch"/>
    <w:rPr>
      <w:rFonts w:ascii="Segoe UI" w:hAnsi="Segoe UI"/>
      <w:sz w:val="18"/>
    </w:rPr>
  </w:style>
  <w:style w:styleId="Style_41_ch" w:type="character">
    <w:name w:val="Balloon Text"/>
    <w:basedOn w:val="Style_5_ch"/>
    <w:link w:val="Style_41"/>
    <w:rPr>
      <w:rFonts w:ascii="Segoe UI" w:hAnsi="Segoe UI"/>
      <w:sz w:val="18"/>
    </w:rPr>
  </w:style>
  <w:style w:styleId="Style_42" w:type="paragraph">
    <w:name w:val="WW8Num1z3"/>
    <w:link w:val="Style_42_ch"/>
  </w:style>
  <w:style w:styleId="Style_42_ch" w:type="character">
    <w:name w:val="WW8Num1z3"/>
    <w:link w:val="Style_42"/>
  </w:style>
  <w:style w:styleId="Style_43" w:type="paragraph">
    <w:name w:val="toc 5"/>
    <w:next w:val="Style_5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WW8Num1z6"/>
    <w:link w:val="Style_44_ch"/>
  </w:style>
  <w:style w:styleId="Style_44_ch" w:type="character">
    <w:name w:val="WW8Num1z6"/>
    <w:link w:val="Style_44"/>
  </w:style>
  <w:style w:styleId="Style_1" w:type="paragraph">
    <w:name w:val="List Paragraph"/>
    <w:basedOn w:val="Style_5"/>
    <w:link w:val="Style_1_ch"/>
    <w:pPr>
      <w:spacing w:after="0" w:before="0" w:line="240" w:lineRule="auto"/>
      <w:ind w:firstLine="0" w:left="720" w:right="0"/>
      <w:contextualSpacing w:val="1"/>
    </w:pPr>
    <w:rPr>
      <w:rFonts w:ascii="Calibri" w:hAnsi="Calibri"/>
      <w:sz w:val="24"/>
    </w:rPr>
  </w:style>
  <w:style w:styleId="Style_1_ch" w:type="character">
    <w:name w:val="List Paragraph"/>
    <w:basedOn w:val="Style_5_ch"/>
    <w:link w:val="Style_1"/>
    <w:rPr>
      <w:rFonts w:ascii="Calibri" w:hAnsi="Calibri"/>
      <w:sz w:val="24"/>
    </w:rPr>
  </w:style>
  <w:style w:styleId="Style_45" w:type="paragraph">
    <w:name w:val="WW8Num1z7"/>
    <w:link w:val="Style_45_ch"/>
  </w:style>
  <w:style w:styleId="Style_45_ch" w:type="character">
    <w:name w:val="WW8Num1z7"/>
    <w:link w:val="Style_45"/>
  </w:style>
  <w:style w:styleId="Style_46" w:type="paragraph">
    <w:name w:val="Subtitle"/>
    <w:next w:val="Style_5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Основной шрифт абзаца1"/>
    <w:link w:val="Style_47_ch"/>
  </w:style>
  <w:style w:styleId="Style_47_ch" w:type="character">
    <w:name w:val="Основной шрифт абзаца1"/>
    <w:link w:val="Style_47"/>
  </w:style>
  <w:style w:styleId="Style_48" w:type="paragraph">
    <w:name w:val="toc 10"/>
    <w:next w:val="Style_5"/>
    <w:link w:val="Style_4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48_ch" w:type="character">
    <w:name w:val="toc 10"/>
    <w:link w:val="Style_48"/>
    <w:rPr>
      <w:rFonts w:ascii="XO Thames" w:hAnsi="XO Thames"/>
      <w:sz w:val="28"/>
    </w:rPr>
  </w:style>
  <w:style w:styleId="Style_49" w:type="paragraph">
    <w:name w:val="WW8Num1z8"/>
    <w:link w:val="Style_49_ch"/>
  </w:style>
  <w:style w:styleId="Style_49_ch" w:type="character">
    <w:name w:val="WW8Num1z8"/>
    <w:link w:val="Style_49"/>
  </w:style>
  <w:style w:styleId="Style_50" w:type="paragraph">
    <w:name w:val="Основной шрифт абзаца2"/>
    <w:link w:val="Style_50_ch"/>
  </w:style>
  <w:style w:styleId="Style_50_ch" w:type="character">
    <w:name w:val="Основной шрифт абзаца2"/>
    <w:link w:val="Style_50"/>
  </w:style>
  <w:style w:styleId="Style_51" w:type="paragraph">
    <w:name w:val="Title"/>
    <w:next w:val="Style_5"/>
    <w:link w:val="Style_5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1_ch" w:type="character">
    <w:name w:val="Title"/>
    <w:link w:val="Style_51"/>
    <w:rPr>
      <w:rFonts w:ascii="XO Thames" w:hAnsi="XO Thames"/>
      <w:b w:val="1"/>
      <w:caps w:val="1"/>
      <w:sz w:val="40"/>
    </w:rPr>
  </w:style>
  <w:style w:styleId="Style_52" w:type="paragraph">
    <w:name w:val="heading 4"/>
    <w:next w:val="Style_5"/>
    <w:link w:val="Style_5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2_ch" w:type="character">
    <w:name w:val="heading 4"/>
    <w:link w:val="Style_52"/>
    <w:rPr>
      <w:rFonts w:ascii="XO Thames" w:hAnsi="XO Thames"/>
      <w:b w:val="1"/>
      <w:sz w:val="24"/>
    </w:rPr>
  </w:style>
  <w:style w:styleId="Style_53" w:type="paragraph">
    <w:name w:val="Заголовок2"/>
    <w:basedOn w:val="Style_5"/>
    <w:next w:val="Style_4"/>
    <w:link w:val="Style_5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3_ch" w:type="character">
    <w:name w:val="Заголовок2"/>
    <w:basedOn w:val="Style_5_ch"/>
    <w:link w:val="Style_53"/>
    <w:rPr>
      <w:rFonts w:ascii="Liberation Sans" w:hAnsi="Liberation Sans"/>
      <w:sz w:val="28"/>
    </w:rPr>
  </w:style>
  <w:style w:styleId="Style_54" w:type="paragraph">
    <w:name w:val="heading 2"/>
    <w:next w:val="Style_5"/>
    <w:link w:val="Style_5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4_ch" w:type="character">
    <w:name w:val="heading 2"/>
    <w:link w:val="Style_54"/>
    <w:rPr>
      <w:rFonts w:ascii="XO Thames" w:hAnsi="XO Thames"/>
      <w:b w:val="1"/>
      <w:sz w:val="28"/>
    </w:rPr>
  </w:style>
  <w:style w:styleId="Style_55" w:type="paragraph">
    <w:name w:val="caption"/>
    <w:basedOn w:val="Style_5"/>
    <w:link w:val="Style_55_ch"/>
    <w:pPr>
      <w:spacing w:after="120" w:before="120"/>
      <w:ind/>
    </w:pPr>
    <w:rPr>
      <w:i w:val="1"/>
      <w:sz w:val="24"/>
    </w:rPr>
  </w:style>
  <w:style w:styleId="Style_55_ch" w:type="character">
    <w:name w:val="caption"/>
    <w:basedOn w:val="Style_5_ch"/>
    <w:link w:val="Style_55"/>
    <w:rPr>
      <w:i w:val="1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2022-11-25T06:48:24Z</dcterms:modified>
</cp:coreProperties>
</file>