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УТВЕРЖДАЮ:</w:t>
      </w:r>
    </w:p>
    <w:p w14:paraId="02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И.о. д</w:t>
      </w:r>
      <w:r>
        <w:rPr>
          <w:rFonts w:ascii="Times New Roman" w:hAnsi="Times New Roman"/>
          <w:sz w:val="22"/>
        </w:rPr>
        <w:t xml:space="preserve">иректора </w:t>
      </w:r>
    </w:p>
    <w:p w14:paraId="03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1" w:name="__DdeLink__28335_2896171144"/>
      <w:r>
        <w:rPr>
          <w:rFonts w:ascii="Times New Roman" w:hAnsi="Times New Roman"/>
          <w:sz w:val="22"/>
        </w:rPr>
        <w:t>КОГАУ</w:t>
      </w:r>
      <w:bookmarkEnd w:id="1"/>
      <w:r>
        <w:rPr>
          <w:rFonts w:ascii="Times New Roman" w:hAnsi="Times New Roman"/>
          <w:sz w:val="22"/>
        </w:rPr>
        <w:t> «ЦООД «Вятские каникулы»</w:t>
      </w:r>
    </w:p>
    <w:p w14:paraId="04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_________________И.В. Ларионов</w:t>
      </w:r>
    </w:p>
    <w:p w14:paraId="05000000">
      <w:pPr>
        <w:spacing w:line="276" w:lineRule="auto"/>
        <w:ind w:firstLine="0" w:left="3402" w:right="0"/>
        <w:rPr>
          <w:rFonts w:ascii="Times New Roman" w:hAnsi="Times New Roman"/>
          <w:color w:val="00000A"/>
          <w:sz w:val="22"/>
        </w:rPr>
      </w:pPr>
    </w:p>
    <w:p w14:paraId="06000000">
      <w:pPr>
        <w:widowControl w:val="0"/>
        <w:tabs>
          <w:tab w:leader="none" w:pos="706" w:val="left"/>
          <w:tab w:leader="underscore" w:pos="9382" w:val="left"/>
        </w:tabs>
        <w:spacing w:line="276" w:lineRule="auto"/>
        <w:ind w:firstLine="0" w:left="57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olor w:val="00000A"/>
          <w:sz w:val="22"/>
        </w:rPr>
        <w:t>Техническая часть (аукционное задание)</w:t>
      </w: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на поставку посуды (котел, кастрюля, чайник)</w:t>
      </w:r>
    </w:p>
    <w:tbl>
      <w:tblPr>
        <w:tblStyle w:val="Style_2"/>
        <w:tblInd w:type="dxa" w:w="-103"/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815"/>
        <w:gridCol w:w="1944"/>
        <w:gridCol w:w="5678"/>
        <w:gridCol w:w="758"/>
        <w:gridCol w:w="972"/>
      </w:tblGrid>
      <w:tr>
        <w:trPr>
          <w:trHeight w:hRule="atLeast" w:val="545"/>
        </w:trPr>
        <w:tc>
          <w:tcPr>
            <w:tcW w:type="dxa" w:w="81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</w:t>
            </w:r>
          </w:p>
        </w:tc>
        <w:tc>
          <w:tcPr>
            <w:tcW w:type="dxa" w:w="194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 товара</w:t>
            </w:r>
          </w:p>
        </w:tc>
        <w:tc>
          <w:tcPr>
            <w:tcW w:type="dxa" w:w="567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Требования к характеристикам товара </w:t>
            </w:r>
          </w:p>
        </w:tc>
        <w:tc>
          <w:tcPr>
            <w:tcW w:type="dxa" w:w="75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Ед. изм.</w:t>
            </w:r>
          </w:p>
        </w:tc>
        <w:tc>
          <w:tcPr>
            <w:tcW w:type="dxa" w:w="97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Кол-во</w:t>
            </w:r>
          </w:p>
        </w:tc>
      </w:tr>
      <w:tr>
        <w:trPr>
          <w:trHeight w:hRule="atLeast" w:val="1360"/>
        </w:trPr>
        <w:tc>
          <w:tcPr>
            <w:tcW w:type="dxa" w:w="81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9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E000000">
            <w:pPr>
              <w:widowControl w:val="1"/>
              <w:spacing w:after="0" w:line="240" w:lineRule="auto"/>
              <w:ind w:firstLine="0"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Котел 50 л</w:t>
            </w:r>
          </w:p>
        </w:tc>
        <w:tc>
          <w:tcPr>
            <w:tcW w:type="dxa" w:w="567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F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Объем:  не менее 50 литров не более 52 литров</w:t>
            </w:r>
          </w:p>
          <w:p w14:paraId="10000000">
            <w:pPr>
              <w:pStyle w:val="Style_3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Диаметр: не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менее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500 мм не более 510 мм</w:t>
            </w:r>
          </w:p>
          <w:p w14:paraId="11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Высота: не менее 26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0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мм не более 290 мм </w:t>
            </w:r>
          </w:p>
          <w:p w14:paraId="12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Толщина стенок: не менее 1 мм</w:t>
            </w:r>
          </w:p>
          <w:p w14:paraId="13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Тройное дно или капсульное дно, толщина: не менее 3 мм</w:t>
            </w:r>
          </w:p>
          <w:p w14:paraId="14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Котел цельнотянутый</w:t>
            </w:r>
          </w:p>
          <w:p w14:paraId="15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Емкость с ручками и крышкой для варки на открытом огне и в духовом шкафу. Товар выполнен из нержавеющей стали, который не окисляется, не деформируется при высоких температурах. Стенки посуды обладают повышенной прочностью и стойкостью к механическим повреждениям</w:t>
            </w:r>
          </w:p>
          <w:p w14:paraId="16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ля использования на любых типах плит – газовых, электрических, керамических</w:t>
            </w:r>
          </w:p>
          <w:p w14:paraId="17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Крышка с ручкой плотно прилегает к борту по всему периметру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котла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без перекосов и смещения</w:t>
            </w:r>
          </w:p>
          <w:p w14:paraId="1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Ручки на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котле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и крышке из нержавеющей стали, несъемные</w:t>
            </w:r>
          </w:p>
        </w:tc>
        <w:tc>
          <w:tcPr>
            <w:tcW w:type="dxa" w:w="75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9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A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rPr>
          <w:trHeight w:hRule="atLeast" w:val="1360"/>
        </w:trPr>
        <w:tc>
          <w:tcPr>
            <w:tcW w:type="dxa" w:w="81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94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C000000">
            <w:pPr>
              <w:widowControl w:val="1"/>
              <w:spacing w:after="0" w:line="240" w:lineRule="auto"/>
              <w:ind w:firstLine="0"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Котел 50 л</w:t>
            </w:r>
          </w:p>
        </w:tc>
        <w:tc>
          <w:tcPr>
            <w:tcW w:type="dxa" w:w="567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D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Объем:  не менее 50 литров не более 52 литров</w:t>
            </w:r>
          </w:p>
          <w:p w14:paraId="1E000000">
            <w:pPr>
              <w:pStyle w:val="Style_3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Диаметр: не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менее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400 мм не более 450 мм</w:t>
            </w:r>
          </w:p>
          <w:p w14:paraId="1F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Высота: не менее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350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мм не более 400 мм </w:t>
            </w:r>
          </w:p>
          <w:p w14:paraId="20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Толщина стенок: не менее 1 мм</w:t>
            </w:r>
          </w:p>
          <w:p w14:paraId="21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Тройное дно, толщина: не менее 6 мм</w:t>
            </w:r>
          </w:p>
          <w:p w14:paraId="22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Котел цельнотянутый</w:t>
            </w:r>
          </w:p>
          <w:p w14:paraId="23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Емкость с ручками и крышкой для варки на открытом огне и в духовом шкафу. Товар выполнен из нержавеющей стали, который не окисляется, не деформируется при высоких температурах. Стенки посуды обладают повышенной прочностью и стойкостью к механическим повреждениям</w:t>
            </w:r>
          </w:p>
          <w:p w14:paraId="24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ля использования на любых типах плит – газовых, электрических, керамических</w:t>
            </w:r>
          </w:p>
          <w:p w14:paraId="25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Крышка с ручкой плотно прилегает к борту по всему периметру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котла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без перекосов и смещения</w:t>
            </w:r>
          </w:p>
          <w:p w14:paraId="2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Ручки на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котле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и крышке из нержавеющей стали, несъемные</w:t>
            </w:r>
          </w:p>
        </w:tc>
        <w:tc>
          <w:tcPr>
            <w:tcW w:type="dxa" w:w="75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7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8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>
        <w:trPr>
          <w:trHeight w:hRule="atLeast" w:val="1360"/>
        </w:trPr>
        <w:tc>
          <w:tcPr>
            <w:tcW w:type="dxa" w:w="81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194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Котел 40 л</w:t>
            </w:r>
          </w:p>
        </w:tc>
        <w:tc>
          <w:tcPr>
            <w:tcW w:type="dxa" w:w="567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B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Объем: не менее 40 литров не более 42 литров</w:t>
            </w:r>
          </w:p>
          <w:p w14:paraId="2C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Диаметр: не менее 400мм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 более </w:t>
            </w: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</w:rPr>
              <w:t>0 мм</w:t>
            </w:r>
          </w:p>
          <w:p w14:paraId="2D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Высота: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не менее 260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мм не более 330 мм</w:t>
            </w:r>
          </w:p>
          <w:p w14:paraId="2E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Толщина стенок: не менее 1 мм</w:t>
            </w:r>
          </w:p>
          <w:p w14:paraId="2F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Тройное дно, толщина: не менее 6 мм</w:t>
            </w:r>
          </w:p>
          <w:p w14:paraId="30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Котел цельнотянутый</w:t>
            </w:r>
          </w:p>
          <w:p w14:paraId="31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Емкость с ручками и крышкой для варки на открытом огне и в духовом шкафу. Котел выполнен из нержавеющей стали, который не окисляется, не деформируется при высоких температурах. Стенки посуды обладают повышенной прочностью и стойкостью к механическим повреждениям</w:t>
            </w:r>
          </w:p>
          <w:p w14:paraId="32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ля использования на любых типах плит – газовых, электрических, керамических</w:t>
            </w:r>
          </w:p>
          <w:p w14:paraId="33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Крышка с ручкой плотно прилегает к борту по всему периметру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котла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без перекосов и смещения</w:t>
            </w:r>
          </w:p>
          <w:p w14:paraId="3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Ручки на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котле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и крышке из нержавеющей стали, несъемные</w:t>
            </w:r>
          </w:p>
        </w:tc>
        <w:tc>
          <w:tcPr>
            <w:tcW w:type="dxa" w:w="75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5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6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>
        <w:trPr>
          <w:trHeight w:hRule="atLeast" w:val="987"/>
        </w:trPr>
        <w:tc>
          <w:tcPr>
            <w:tcW w:type="dxa" w:w="81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94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Котел 30 л</w:t>
            </w:r>
          </w:p>
        </w:tc>
        <w:tc>
          <w:tcPr>
            <w:tcW w:type="dxa" w:w="567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9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Объем:  не менее 30 литров не более 32 литров</w:t>
            </w:r>
          </w:p>
          <w:p w14:paraId="3A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Диаметр: не менее 350мм не более  400 мм</w:t>
            </w:r>
          </w:p>
          <w:p w14:paraId="3B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Высота: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не менее 260мм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не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более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320 мм</w:t>
            </w:r>
          </w:p>
          <w:p w14:paraId="3C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Толщина стенок: не менее 1 мм</w:t>
            </w:r>
          </w:p>
          <w:p w14:paraId="3D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Тройное дно, толщина: не менее 6 мм</w:t>
            </w:r>
          </w:p>
          <w:p w14:paraId="3E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Котел цельнотянутый</w:t>
            </w:r>
          </w:p>
          <w:p w14:paraId="3F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Емкость с ручками и крышкой для варки на открытом огне и в духовом шкафу. Котел выполнен из нержавеющей стали, который не окисляется, не деформируется при высоких температурах. Стенки посуды обладают повышенной прочностью и стойкостью к механическим повреждениям</w:t>
            </w:r>
          </w:p>
          <w:p w14:paraId="40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ля использования на любых типах плит – газовых, электрических, керамических</w:t>
            </w:r>
          </w:p>
          <w:p w14:paraId="41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Крышка с ручкой плотно прилегает к борту по всему периметру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котла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без перекосов и смещения</w:t>
            </w:r>
          </w:p>
          <w:p w14:paraId="4200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Ручки на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котле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и крышке из нержавеющей стали, несъемные</w:t>
            </w:r>
          </w:p>
        </w:tc>
        <w:tc>
          <w:tcPr>
            <w:tcW w:type="dxa" w:w="75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3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4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>
        <w:trPr>
          <w:trHeight w:hRule="atLeast" w:val="1360"/>
        </w:trPr>
        <w:tc>
          <w:tcPr>
            <w:tcW w:type="dxa" w:w="81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194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Котел 20 л</w:t>
            </w:r>
          </w:p>
        </w:tc>
        <w:tc>
          <w:tcPr>
            <w:tcW w:type="dxa" w:w="567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7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Объем:  не менее 20 литров не более 22 литров</w:t>
            </w:r>
          </w:p>
          <w:p w14:paraId="48000000">
            <w:pPr>
              <w:pStyle w:val="Style_3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Диаметр: не менее 300 мм не более 400 мм</w:t>
            </w:r>
          </w:p>
          <w:p w14:paraId="49000000">
            <w:pPr>
              <w:pStyle w:val="Style_3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Высота: не менее 250 мм не более 300 мм </w:t>
            </w:r>
          </w:p>
          <w:p w14:paraId="4A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Толщина стенок: не менее 1 мм</w:t>
            </w:r>
          </w:p>
          <w:p w14:paraId="4B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Тройное дно, толщина: не менее 6 мм</w:t>
            </w:r>
          </w:p>
          <w:p w14:paraId="4C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Котел цельнотянутый</w:t>
            </w:r>
          </w:p>
          <w:p w14:paraId="4D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Емкость с ручками и крышкой для варки на открытом огне и в духовом шкафу. Котел выполнен из нержавеющей стали, который не окисляется, не деформируется при высоких температурах. Стенки посуды обладают повышенной прочностью и стойкостью к механическим повреждениям</w:t>
            </w:r>
          </w:p>
          <w:p w14:paraId="4E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ля использования на любых типах плит – газовых, электрических, керамических</w:t>
            </w:r>
          </w:p>
          <w:p w14:paraId="4F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Крышка с ручкой плотно прилегает к борту по всему периметру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котла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без перекосов и смещения</w:t>
            </w:r>
          </w:p>
          <w:p w14:paraId="50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Ручки на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котле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и крышке из нержавеющей стали, несъемные</w:t>
            </w:r>
          </w:p>
        </w:tc>
        <w:tc>
          <w:tcPr>
            <w:tcW w:type="dxa" w:w="75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1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2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>
        <w:trPr>
          <w:trHeight w:hRule="atLeast" w:val="1360"/>
        </w:trPr>
        <w:tc>
          <w:tcPr>
            <w:tcW w:type="dxa" w:w="81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194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Кастрюля </w:t>
            </w:r>
          </w:p>
        </w:tc>
        <w:tc>
          <w:tcPr>
            <w:tcW w:type="dxa" w:w="567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5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Объем:  не менее 3 литров не более 4 литров</w:t>
            </w:r>
          </w:p>
          <w:p w14:paraId="56000000">
            <w:pPr>
              <w:pStyle w:val="Style_3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Диаметр: не менее 200 мм не более 215 мм</w:t>
            </w:r>
          </w:p>
          <w:p w14:paraId="57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Высота: не менее 95 мм не более 150 мм </w:t>
            </w:r>
          </w:p>
          <w:p w14:paraId="58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Толщина стенок: не менее 1 мм</w:t>
            </w:r>
          </w:p>
          <w:p w14:paraId="59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Тройное дно, толщина: не менее 6 мм</w:t>
            </w:r>
          </w:p>
          <w:p w14:paraId="5A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Кастрюля цельнотянутая</w:t>
            </w:r>
          </w:p>
          <w:p w14:paraId="5B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Емкость с ручками и крышкой для варки на открытом огне и в духовом шкафу. Товар выполнен из нержавеющей стали, который не окисляется, не деформируется при высоких температурах. Стенки посуды обладают повышенной прочностью и стойкостью к механическим повреждениям</w:t>
            </w:r>
          </w:p>
          <w:p w14:paraId="5C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ля использования на любых типах плит – газовых, электрических, керамических</w:t>
            </w:r>
          </w:p>
          <w:p w14:paraId="5D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Крышка с ручкой плотно прилегает к борту по всему периметру кастрюли без перекосов и смещения</w:t>
            </w:r>
          </w:p>
          <w:p w14:paraId="5E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Ручки на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кастрюле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и крышке из нержавеющей стали, несъемные</w:t>
            </w:r>
          </w:p>
        </w:tc>
        <w:tc>
          <w:tcPr>
            <w:tcW w:type="dxa" w:w="75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F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0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>
        <w:trPr>
          <w:trHeight w:hRule="atLeast" w:val="1360"/>
        </w:trPr>
        <w:tc>
          <w:tcPr>
            <w:tcW w:type="dxa" w:w="81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194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Кастрюля</w:t>
            </w:r>
          </w:p>
        </w:tc>
        <w:tc>
          <w:tcPr>
            <w:tcW w:type="dxa" w:w="567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3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Объем:  не менее 5 литров и не более 6 литров</w:t>
            </w:r>
          </w:p>
          <w:p w14:paraId="64000000">
            <w:pPr>
              <w:pStyle w:val="Style_3"/>
              <w:keepNext w:val="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Диаметр: не менее 235 мм не более 240 мм</w:t>
            </w:r>
          </w:p>
          <w:p w14:paraId="65000000">
            <w:pPr>
              <w:pStyle w:val="Style_3"/>
              <w:keepNext w:val="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Высота: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не менее 125 мм не более 130 мм</w:t>
            </w:r>
          </w:p>
          <w:p w14:paraId="66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Толщина стенок: не менее 1 мм</w:t>
            </w:r>
          </w:p>
          <w:p w14:paraId="67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Тройное дно, толщина: не менее 6 мм</w:t>
            </w:r>
          </w:p>
          <w:p w14:paraId="68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Кастрюля цельнотянутая</w:t>
            </w:r>
          </w:p>
          <w:p w14:paraId="69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Емкость с ручками и крышкой для варки на открытом огне и в духовом шкафу. Товар выполнен из нержавеющей стали, который не окисляется, не деформируется при высоких температурах. Стенки посуды обладают повышенной прочностью и стойкостью к механическим повреждениям</w:t>
            </w:r>
          </w:p>
          <w:p w14:paraId="6A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ля использования на любых типах плит – газовых, электрических, керамических</w:t>
            </w:r>
          </w:p>
          <w:p w14:paraId="6B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Крышка с ручкой плотно прилегает к борту по всему периметру кастрюли без перекосов и смещения</w:t>
            </w:r>
          </w:p>
          <w:p w14:paraId="6C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Ручки на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кастрюле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и крышке из нержавеющей стали, несъемные</w:t>
            </w:r>
          </w:p>
        </w:tc>
        <w:tc>
          <w:tcPr>
            <w:tcW w:type="dxa" w:w="75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D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E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>
        <w:trPr>
          <w:trHeight w:hRule="atLeast" w:val="1360"/>
        </w:trPr>
        <w:tc>
          <w:tcPr>
            <w:tcW w:type="dxa" w:w="815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194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7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Чайник 7 л</w:t>
            </w:r>
          </w:p>
          <w:p w14:paraId="7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100637" cy="1100637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1100637" cy="110063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7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Образец (для примера)</w:t>
            </w:r>
          </w:p>
        </w:tc>
        <w:tc>
          <w:tcPr>
            <w:tcW w:type="dxa" w:w="567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73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Объем:  не менее 6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литров и не более 7 литров</w:t>
            </w:r>
          </w:p>
          <w:p w14:paraId="74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Толщина стенок: не менее 0,55 мм</w:t>
            </w:r>
          </w:p>
          <w:p w14:paraId="75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Толщина дна: не менее 1 мм </w:t>
            </w:r>
          </w:p>
          <w:p w14:paraId="76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Диаметр горла: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не менее 30 мм</w:t>
            </w:r>
          </w:p>
          <w:p w14:paraId="77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Чайник цельнотянутый</w:t>
            </w:r>
          </w:p>
          <w:p w14:paraId="78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Чайник - небольшой закрытый сосуд с носиком, крышкой и ручкой для подогревания и кипячения воды. </w:t>
            </w:r>
          </w:p>
          <w:p w14:paraId="79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Товар выполнен из нержавеющей стали, который не окисляется, не деформируется при высоких температурах. Стенки посуды обладают повышенной прочностью и стойкостью к механическим повреждениям</w:t>
            </w:r>
          </w:p>
          <w:p w14:paraId="7A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ля использования на любых типах плит – газовых, электрических, керамических</w:t>
            </w:r>
          </w:p>
          <w:p w14:paraId="7B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Крышка изготовлена из нержавеющей стали плотно прилегает к борту по всему периметру горлышка чайника без перекосов и смещения. на крышке имеется пластмассовая ручка для исключения обжигания человеком своих рук.</w:t>
            </w:r>
          </w:p>
          <w:p w14:paraId="7C000000">
            <w:pPr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ручке изготовленной из нержавеющей стали имеется пластмассовая ручка</w:t>
            </w:r>
            <w:r>
              <w:rPr>
                <w:rFonts w:ascii="Times New Roman" w:hAnsi="Times New Roman"/>
                <w:b w:val="0"/>
                <w:i w:val="0"/>
                <w:caps w:val="1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75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7D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7E000000">
            <w:pPr>
              <w:widowControl w:val="1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</w:tbl>
    <w:p w14:paraId="7F000000">
      <w:pPr>
        <w:ind/>
        <w:jc w:val="center"/>
        <w:rPr>
          <w:rFonts w:ascii="Times New Roman" w:hAnsi="Times New Roman"/>
          <w:sz w:val="22"/>
        </w:rPr>
      </w:pPr>
    </w:p>
    <w:p w14:paraId="8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</w:p>
    <w:p w14:paraId="81000000">
      <w:pPr>
        <w:pStyle w:val="Style_4"/>
        <w:widowControl w:val="0"/>
        <w:ind w:firstLine="567" w:left="0" w:right="0"/>
        <w:jc w:val="both"/>
        <w:rPr>
          <w:rFonts w:ascii="Times New Roman" w:hAnsi="Times New Roman"/>
          <w:sz w:val="22"/>
        </w:rPr>
      </w:pPr>
    </w:p>
    <w:sectPr>
      <w:pgSz w:h="16838" w:orient="portrait" w:w="11906"/>
      <w:pgMar w:bottom="708" w:footer="708" w:header="708" w:left="863" w:right="605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/>
    </w:pPr>
    <w:rPr>
      <w:rFonts w:ascii="Liberation Serif" w:hAnsi="Liberation Serif"/>
      <w:color w:val="000000"/>
      <w:sz w:val="24"/>
    </w:rPr>
  </w:style>
  <w:style w:default="1" w:styleId="Style_5_ch" w:type="character">
    <w:name w:val="Normal"/>
    <w:link w:val="Style_5"/>
    <w:rPr>
      <w:rFonts w:ascii="Liberation Serif" w:hAnsi="Liberation Serif"/>
      <w:color w:val="000000"/>
      <w:sz w:val="24"/>
    </w:rPr>
  </w:style>
  <w:style w:styleId="Style_6" w:type="paragraph">
    <w:name w:val="Заголовок таблицы"/>
    <w:basedOn w:val="Style_7"/>
    <w:link w:val="Style_6_ch"/>
    <w:pPr>
      <w:ind/>
      <w:jc w:val="center"/>
    </w:pPr>
    <w:rPr>
      <w:b w:val="1"/>
    </w:rPr>
  </w:style>
  <w:style w:styleId="Style_6_ch" w:type="character">
    <w:name w:val="Заголовок таблицы"/>
    <w:basedOn w:val="Style_7_ch"/>
    <w:link w:val="Style_6"/>
    <w:rPr>
      <w:b w:val="1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Указатель"/>
    <w:basedOn w:val="Style_5"/>
    <w:link w:val="Style_9_ch"/>
  </w:style>
  <w:style w:styleId="Style_9_ch" w:type="character">
    <w:name w:val="Указатель"/>
    <w:basedOn w:val="Style_5_ch"/>
    <w:link w:val="Style_9"/>
  </w:style>
  <w:style w:styleId="Style_10" w:type="paragraph">
    <w:name w:val="Основной текст с отступом 21"/>
    <w:basedOn w:val="Style_4"/>
    <w:link w:val="Style_10_ch"/>
    <w:pPr>
      <w:spacing w:after="120" w:before="0" w:line="480" w:lineRule="auto"/>
      <w:ind w:firstLine="0" w:left="283" w:right="0"/>
    </w:pPr>
  </w:style>
  <w:style w:styleId="Style_10_ch" w:type="character">
    <w:name w:val="Основной текст с отступом 21"/>
    <w:basedOn w:val="Style_4_ch"/>
    <w:link w:val="Style_10"/>
  </w:style>
  <w:style w:styleId="Style_11" w:type="paragraph">
    <w:name w:val="Standard (user)"/>
    <w:link w:val="Style_11_ch"/>
    <w:pPr>
      <w:widowControl w:val="1"/>
      <w:ind/>
    </w:pPr>
    <w:rPr>
      <w:rFonts w:ascii="Liberation Serif" w:hAnsi="Liberation Serif"/>
      <w:color w:val="000000"/>
      <w:sz w:val="24"/>
    </w:rPr>
  </w:style>
  <w:style w:styleId="Style_11_ch" w:type="character">
    <w:name w:val="Standard (user)"/>
    <w:link w:val="Style_11"/>
    <w:rPr>
      <w:rFonts w:ascii="Liberation Serif" w:hAnsi="Liberation Serif"/>
      <w:color w:val="000000"/>
      <w:sz w:val="24"/>
    </w:rPr>
  </w:style>
  <w:style w:styleId="Style_12" w:type="paragraph">
    <w:name w:val="Основной шрифт абзаца2"/>
    <w:link w:val="Style_12_ch"/>
  </w:style>
  <w:style w:styleId="Style_12_ch" w:type="character">
    <w:name w:val="Основной шрифт абзаца2"/>
    <w:link w:val="Style_12"/>
  </w:style>
  <w:style w:styleId="Style_13" w:type="paragraph">
    <w:name w:val="toc 4"/>
    <w:next w:val="Style_5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шрифт абзаца"/>
    <w:link w:val="Style_16_ch"/>
  </w:style>
  <w:style w:styleId="Style_16_ch" w:type="character">
    <w:name w:val="Основной шрифт абзаца"/>
    <w:link w:val="Style_16"/>
  </w:style>
  <w:style w:styleId="Style_17" w:type="paragraph">
    <w:name w:val="Обычный + 11 pt"/>
    <w:basedOn w:val="Style_4"/>
    <w:link w:val="Style_17_ch"/>
    <w:pPr>
      <w:spacing w:after="0" w:before="0"/>
      <w:ind/>
    </w:pPr>
    <w:rPr>
      <w:sz w:val="22"/>
    </w:rPr>
  </w:style>
  <w:style w:styleId="Style_17_ch" w:type="character">
    <w:name w:val="Обычный + 11 pt"/>
    <w:basedOn w:val="Style_4_ch"/>
    <w:link w:val="Style_17"/>
    <w:rPr>
      <w:sz w:val="22"/>
    </w:rPr>
  </w:style>
  <w:style w:styleId="Style_18" w:type="paragraph">
    <w:name w:val="Верхний и нижний колонтитулы"/>
    <w:basedOn w:val="Style_5"/>
    <w:link w:val="Style_18_ch"/>
    <w:pPr>
      <w:tabs>
        <w:tab w:leader="none" w:pos="4819" w:val="center"/>
        <w:tab w:leader="none" w:pos="9638" w:val="right"/>
      </w:tabs>
      <w:ind/>
    </w:pPr>
  </w:style>
  <w:style w:styleId="Style_18_ch" w:type="character">
    <w:name w:val="Верхний и нижний колонтитулы"/>
    <w:basedOn w:val="Style_5_ch"/>
    <w:link w:val="Style_18"/>
  </w:style>
  <w:style w:styleId="Style_7" w:type="paragraph">
    <w:name w:val="Содержимое таблицы"/>
    <w:basedOn w:val="Style_5"/>
    <w:link w:val="Style_7_ch"/>
  </w:style>
  <w:style w:styleId="Style_7_ch" w:type="character">
    <w:name w:val="Содержимое таблицы"/>
    <w:basedOn w:val="Style_5_ch"/>
    <w:link w:val="Style_7"/>
  </w:style>
  <w:style w:styleId="Style_3" w:type="paragraph">
    <w:name w:val="heading 3"/>
    <w:next w:val="Style_5"/>
    <w:link w:val="Style_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_ch" w:type="character">
    <w:name w:val="heading 3"/>
    <w:link w:val="Style_3"/>
    <w:rPr>
      <w:rFonts w:ascii="XO Thames" w:hAnsi="XO Thames"/>
      <w:b w:val="1"/>
      <w:sz w:val="26"/>
    </w:rPr>
  </w:style>
  <w:style w:styleId="Style_19" w:type="paragraph">
    <w:name w:val="Символ нумерации"/>
    <w:link w:val="Style_19_ch"/>
  </w:style>
  <w:style w:styleId="Style_19_ch" w:type="character">
    <w:name w:val="Символ нумерации"/>
    <w:link w:val="Style_19"/>
  </w:style>
  <w:style w:styleId="Style_20" w:type="paragraph">
    <w:name w:val="Основной текст Знак"/>
    <w:link w:val="Style_20_ch"/>
    <w:rPr>
      <w:rFonts w:ascii="Times New Roman" w:hAnsi="Times New Roman"/>
      <w:sz w:val="20"/>
    </w:rPr>
  </w:style>
  <w:style w:styleId="Style_20_ch" w:type="character">
    <w:name w:val="Основной текст Знак"/>
    <w:link w:val="Style_20"/>
    <w:rPr>
      <w:rFonts w:ascii="Times New Roman" w:hAnsi="Times New Roman"/>
      <w:sz w:val="20"/>
    </w:rPr>
  </w:style>
  <w:style w:styleId="Style_21" w:type="paragraph">
    <w:name w:val="List"/>
    <w:basedOn w:val="Style_1"/>
    <w:link w:val="Style_21_ch"/>
    <w:rPr>
      <w:sz w:val="24"/>
    </w:rPr>
  </w:style>
  <w:style w:styleId="Style_21_ch" w:type="character">
    <w:name w:val="List"/>
    <w:basedOn w:val="Style_1_ch"/>
    <w:link w:val="Style_21"/>
    <w:rPr>
      <w:sz w:val="24"/>
    </w:rPr>
  </w:style>
  <w:style w:styleId="Style_22" w:type="paragraph">
    <w:name w:val="FollowedHyperlink"/>
    <w:link w:val="Style_22_ch"/>
    <w:rPr>
      <w:color w:val="800080"/>
      <w:u w:color="000000" w:val="single"/>
    </w:rPr>
  </w:style>
  <w:style w:styleId="Style_22_ch" w:type="character">
    <w:name w:val="FollowedHyperlink"/>
    <w:link w:val="Style_22"/>
    <w:rPr>
      <w:color w:val="800080"/>
      <w:u w:color="000000" w:val="single"/>
    </w:rPr>
  </w:style>
  <w:style w:styleId="Style_23" w:type="paragraph">
    <w:name w:val="header"/>
    <w:basedOn w:val="Style_4"/>
    <w:link w:val="Style_23_ch"/>
  </w:style>
  <w:style w:styleId="Style_23_ch" w:type="character">
    <w:name w:val="header"/>
    <w:basedOn w:val="Style_4_ch"/>
    <w:link w:val="Style_23"/>
  </w:style>
  <w:style w:styleId="Style_24" w:type="paragraph">
    <w:name w:val="Body Text"/>
    <w:basedOn w:val="Style_5"/>
    <w:link w:val="Style_24_ch"/>
    <w:pPr>
      <w:spacing w:after="120" w:before="0"/>
      <w:ind/>
    </w:pPr>
    <w:rPr>
      <w:rFonts w:ascii="Times New Roman" w:hAnsi="Times New Roman"/>
      <w:sz w:val="20"/>
    </w:rPr>
  </w:style>
  <w:style w:styleId="Style_24_ch" w:type="character">
    <w:name w:val="Body Text"/>
    <w:basedOn w:val="Style_5_ch"/>
    <w:link w:val="Style_24"/>
    <w:rPr>
      <w:rFonts w:ascii="Times New Roman" w:hAnsi="Times New Roman"/>
      <w:sz w:val="20"/>
    </w:rPr>
  </w:style>
  <w:style w:styleId="Style_25" w:type="paragraph">
    <w:name w:val="toc 3"/>
    <w:next w:val="Style_5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Heading"/>
    <w:basedOn w:val="Style_4"/>
    <w:next w:val="Style_1"/>
    <w:link w:val="Style_2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6_ch" w:type="character">
    <w:name w:val="Heading"/>
    <w:basedOn w:val="Style_4_ch"/>
    <w:link w:val="Style_26"/>
    <w:rPr>
      <w:rFonts w:ascii="Liberation Sans" w:hAnsi="Liberation Sans"/>
      <w:sz w:val="28"/>
    </w:rPr>
  </w:style>
  <w:style w:styleId="Style_27" w:type="paragraph">
    <w:name w:val="Strong Emphasis"/>
    <w:link w:val="Style_27_ch"/>
    <w:rPr>
      <w:b w:val="1"/>
    </w:rPr>
  </w:style>
  <w:style w:styleId="Style_27_ch" w:type="character">
    <w:name w:val="Strong Emphasis"/>
    <w:link w:val="Style_27"/>
    <w:rPr>
      <w:b w:val="1"/>
    </w:rPr>
  </w:style>
  <w:style w:styleId="Style_28" w:type="paragraph">
    <w:name w:val="p4"/>
    <w:basedOn w:val="Style_4"/>
    <w:link w:val="Style_28_ch"/>
    <w:pPr>
      <w:spacing w:after="280" w:before="280"/>
      <w:ind/>
      <w:jc w:val="left"/>
    </w:pPr>
  </w:style>
  <w:style w:styleId="Style_28_ch" w:type="character">
    <w:name w:val="p4"/>
    <w:basedOn w:val="Style_4_ch"/>
    <w:link w:val="Style_28"/>
  </w:style>
  <w:style w:styleId="Style_29" w:type="paragraph">
    <w:name w:val="Пункт договора"/>
    <w:basedOn w:val="Style_4"/>
    <w:link w:val="Style_29_ch"/>
  </w:style>
  <w:style w:styleId="Style_29_ch" w:type="character">
    <w:name w:val="Пункт договора"/>
    <w:basedOn w:val="Style_4_ch"/>
    <w:link w:val="Style_29"/>
  </w:style>
  <w:style w:styleId="Style_30" w:type="paragraph">
    <w:name w:val="Указатель1"/>
    <w:basedOn w:val="Style_5"/>
    <w:link w:val="Style_30_ch"/>
  </w:style>
  <w:style w:styleId="Style_30_ch" w:type="character">
    <w:name w:val="Указатель1"/>
    <w:basedOn w:val="Style_5_ch"/>
    <w:link w:val="Style_30"/>
  </w:style>
  <w:style w:styleId="Style_31" w:type="paragraph">
    <w:name w:val="Text body indent"/>
    <w:basedOn w:val="Style_4"/>
    <w:link w:val="Style_31_ch"/>
    <w:pPr>
      <w:spacing w:after="0" w:before="60"/>
      <w:ind w:firstLine="851" w:left="0" w:right="0"/>
    </w:pPr>
  </w:style>
  <w:style w:styleId="Style_31_ch" w:type="character">
    <w:name w:val="Text body indent"/>
    <w:basedOn w:val="Style_4_ch"/>
    <w:link w:val="Style_31"/>
  </w:style>
  <w:style w:styleId="Style_32" w:type="paragraph">
    <w:name w:val="heading 5"/>
    <w:next w:val="Style_5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ConsNormal"/>
    <w:link w:val="Style_33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33_ch" w:type="character">
    <w:name w:val="ConsNormal"/>
    <w:link w:val="Style_33"/>
    <w:rPr>
      <w:rFonts w:ascii="Arial" w:hAnsi="Arial"/>
      <w:color w:val="000000"/>
      <w:sz w:val="20"/>
    </w:rPr>
  </w:style>
  <w:style w:styleId="Style_34" w:type="paragraph">
    <w:name w:val="Заголовок1"/>
    <w:basedOn w:val="Style_5"/>
    <w:next w:val="Style_24"/>
    <w:link w:val="Style_3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4_ch" w:type="character">
    <w:name w:val="Заголовок1"/>
    <w:basedOn w:val="Style_5_ch"/>
    <w:link w:val="Style_34"/>
    <w:rPr>
      <w:rFonts w:ascii="Liberation Sans" w:hAnsi="Liberation Sans"/>
      <w:sz w:val="28"/>
    </w:rPr>
  </w:style>
  <w:style w:styleId="Style_35" w:type="paragraph">
    <w:name w:val="heading 1"/>
    <w:next w:val="Style_5"/>
    <w:link w:val="Style_3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Hyperlink"/>
    <w:link w:val="Style_36_ch"/>
    <w:rPr>
      <w:color w:val="0563C1"/>
      <w:u w:val="single"/>
    </w:rPr>
  </w:style>
  <w:style w:styleId="Style_36_ch" w:type="character">
    <w:name w:val="Hyperlink"/>
    <w:link w:val="Style_36"/>
    <w:rPr>
      <w:color w:val="0563C1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5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yperlink"/>
    <w:link w:val="Style_39_ch"/>
    <w:rPr>
      <w:color w:val="0000FF"/>
      <w:u w:color="000000" w:val="single"/>
    </w:rPr>
  </w:style>
  <w:style w:styleId="Style_39_ch" w:type="character">
    <w:name w:val="Hyperlink"/>
    <w:link w:val="Style_39"/>
    <w:rPr>
      <w:color w:val="0000FF"/>
      <w:u w:color="000000" w:val="single"/>
    </w:rPr>
  </w:style>
  <w:style w:styleId="Style_40" w:type="paragraph">
    <w:name w:val="Header and Footer"/>
    <w:basedOn w:val="Style_4"/>
    <w:link w:val="Style_40_ch"/>
  </w:style>
  <w:style w:styleId="Style_40_ch" w:type="character">
    <w:name w:val="Header and Footer"/>
    <w:basedOn w:val="Style_4_ch"/>
    <w:link w:val="Style_40"/>
  </w:style>
  <w:style w:styleId="Style_41" w:type="paragraph">
    <w:name w:val="Table Contents"/>
    <w:basedOn w:val="Style_4"/>
    <w:link w:val="Style_41_ch"/>
  </w:style>
  <w:style w:styleId="Style_41_ch" w:type="character">
    <w:name w:val="Table Contents"/>
    <w:basedOn w:val="Style_4_ch"/>
    <w:link w:val="Style_41"/>
  </w:style>
  <w:style w:styleId="Style_42" w:type="paragraph">
    <w:name w:val="Font Style24"/>
    <w:link w:val="Style_42_ch"/>
    <w:rPr>
      <w:rFonts w:ascii="Arial" w:hAnsi="Arial"/>
      <w:color w:val="000000"/>
      <w:sz w:val="18"/>
    </w:rPr>
  </w:style>
  <w:style w:styleId="Style_42_ch" w:type="character">
    <w:name w:val="Font Style24"/>
    <w:link w:val="Style_42"/>
    <w:rPr>
      <w:rFonts w:ascii="Arial" w:hAnsi="Arial"/>
      <w:color w:val="000000"/>
      <w:sz w:val="18"/>
    </w:rPr>
  </w:style>
  <w:style w:styleId="Style_43" w:type="paragraph">
    <w:name w:val="toc 9"/>
    <w:next w:val="Style_5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s1"/>
    <w:link w:val="Style_44_ch"/>
  </w:style>
  <w:style w:styleId="Style_44_ch" w:type="character">
    <w:name w:val="s1"/>
    <w:link w:val="Style_44"/>
  </w:style>
  <w:style w:styleId="Style_45" w:type="paragraph">
    <w:name w:val="toc 8"/>
    <w:next w:val="Style_5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ConsPlusNormal"/>
    <w:link w:val="Style_46_ch"/>
    <w:pPr>
      <w:widowControl w:val="1"/>
      <w:ind w:firstLine="720" w:left="0" w:right="0"/>
    </w:pPr>
    <w:rPr>
      <w:rFonts w:ascii="Arial" w:hAnsi="Arial"/>
      <w:color w:val="00000A"/>
      <w:sz w:val="24"/>
    </w:rPr>
  </w:style>
  <w:style w:styleId="Style_46_ch" w:type="character">
    <w:name w:val="ConsPlusNormal"/>
    <w:link w:val="Style_46"/>
    <w:rPr>
      <w:rFonts w:ascii="Arial" w:hAnsi="Arial"/>
      <w:color w:val="00000A"/>
      <w:sz w:val="24"/>
    </w:rPr>
  </w:style>
  <w:style w:styleId="Style_47" w:type="paragraph">
    <w:name w:val="copy_target"/>
    <w:basedOn w:val="Style_12"/>
    <w:link w:val="Style_47_ch"/>
  </w:style>
  <w:style w:styleId="Style_47_ch" w:type="character">
    <w:name w:val="copy_target"/>
    <w:basedOn w:val="Style_12_ch"/>
    <w:link w:val="Style_47"/>
  </w:style>
  <w:style w:styleId="Style_48" w:type="paragraph">
    <w:name w:val="ConsNonformat"/>
    <w:link w:val="Style_48_ch"/>
    <w:pPr>
      <w:widowControl w:val="0"/>
      <w:ind/>
    </w:pPr>
    <w:rPr>
      <w:rFonts w:ascii="Courier New" w:hAnsi="Courier New"/>
      <w:color w:val="000000"/>
      <w:sz w:val="20"/>
    </w:rPr>
  </w:style>
  <w:style w:styleId="Style_48_ch" w:type="character">
    <w:name w:val="ConsNonformat"/>
    <w:link w:val="Style_48"/>
    <w:rPr>
      <w:rFonts w:ascii="Courier New" w:hAnsi="Courier New"/>
      <w:color w:val="000000"/>
      <w:sz w:val="20"/>
    </w:rPr>
  </w:style>
  <w:style w:styleId="Style_49" w:type="paragraph">
    <w:name w:val="Основной шрифт абзаца1"/>
    <w:link w:val="Style_49_ch"/>
  </w:style>
  <w:style w:styleId="Style_49_ch" w:type="character">
    <w:name w:val="Основной шрифт абзаца1"/>
    <w:link w:val="Style_49"/>
  </w:style>
  <w:style w:styleId="Style_50" w:type="paragraph">
    <w:name w:val="Текст выноски"/>
    <w:basedOn w:val="Style_5"/>
    <w:link w:val="Style_50_ch"/>
    <w:rPr>
      <w:rFonts w:ascii="Segoe UI" w:hAnsi="Segoe UI"/>
      <w:sz w:val="18"/>
    </w:rPr>
  </w:style>
  <w:style w:styleId="Style_50_ch" w:type="character">
    <w:name w:val="Текст выноски"/>
    <w:basedOn w:val="Style_5_ch"/>
    <w:link w:val="Style_50"/>
    <w:rPr>
      <w:rFonts w:ascii="Segoe UI" w:hAnsi="Segoe UI"/>
      <w:sz w:val="18"/>
    </w:rPr>
  </w:style>
  <w:style w:styleId="Style_51" w:type="paragraph">
    <w:name w:val="toc 5"/>
    <w:next w:val="Style_5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apple-converted-space"/>
    <w:link w:val="Style_52_ch"/>
  </w:style>
  <w:style w:styleId="Style_52_ch" w:type="character">
    <w:name w:val="apple-converted-space"/>
    <w:link w:val="Style_52"/>
  </w:style>
  <w:style w:styleId="Style_53" w:type="paragraph">
    <w:name w:val="Название объекта1"/>
    <w:basedOn w:val="Style_4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Название объекта1"/>
    <w:basedOn w:val="Style_4_ch"/>
    <w:link w:val="Style_53"/>
    <w:rPr>
      <w:i w:val="1"/>
      <w:sz w:val="24"/>
    </w:rPr>
  </w:style>
  <w:style w:styleId="Style_4" w:type="paragraph">
    <w:name w:val="Standard"/>
    <w:link w:val="Style_4_ch"/>
    <w:pPr>
      <w:widowControl w:val="1"/>
      <w:ind/>
    </w:pPr>
    <w:rPr>
      <w:rFonts w:ascii="Liberation Serif" w:hAnsi="Liberation Serif"/>
      <w:color w:val="000000"/>
      <w:sz w:val="24"/>
    </w:rPr>
  </w:style>
  <w:style w:styleId="Style_4_ch" w:type="character">
    <w:name w:val="Standard"/>
    <w:link w:val="Style_4"/>
    <w:rPr>
      <w:rFonts w:ascii="Liberation Serif" w:hAnsi="Liberation Serif"/>
      <w:color w:val="000000"/>
      <w:sz w:val="24"/>
    </w:rPr>
  </w:style>
  <w:style w:styleId="Style_54" w:type="paragraph">
    <w:name w:val="textspanview"/>
    <w:basedOn w:val="Style_12"/>
    <w:link w:val="Style_54_ch"/>
  </w:style>
  <w:style w:styleId="Style_54_ch" w:type="character">
    <w:name w:val="textspanview"/>
    <w:basedOn w:val="Style_12_ch"/>
    <w:link w:val="Style_54"/>
  </w:style>
  <w:style w:styleId="Style_55" w:type="paragraph">
    <w:name w:val="caption"/>
    <w:basedOn w:val="Style_5"/>
    <w:link w:val="Style_55_ch"/>
    <w:pPr>
      <w:spacing w:after="120" w:before="120"/>
      <w:ind/>
    </w:pPr>
    <w:rPr>
      <w:i w:val="1"/>
      <w:sz w:val="24"/>
    </w:rPr>
  </w:style>
  <w:style w:styleId="Style_55_ch" w:type="character">
    <w:name w:val="caption"/>
    <w:basedOn w:val="Style_5_ch"/>
    <w:link w:val="Style_55"/>
    <w:rPr>
      <w:i w:val="1"/>
      <w:sz w:val="24"/>
    </w:rPr>
  </w:style>
  <w:style w:styleId="Style_56" w:type="paragraph">
    <w:name w:val="footer"/>
    <w:basedOn w:val="Style_4"/>
    <w:link w:val="Style_56_ch"/>
  </w:style>
  <w:style w:styleId="Style_56_ch" w:type="character">
    <w:name w:val="footer"/>
    <w:basedOn w:val="Style_4_ch"/>
    <w:link w:val="Style_56"/>
  </w:style>
  <w:style w:styleId="Style_57" w:type="paragraph">
    <w:name w:val="Название объекта"/>
    <w:basedOn w:val="Style_5"/>
    <w:link w:val="Style_57_ch"/>
    <w:pPr>
      <w:spacing w:after="120" w:before="120"/>
      <w:ind/>
    </w:pPr>
    <w:rPr>
      <w:i w:val="1"/>
      <w:sz w:val="24"/>
    </w:rPr>
  </w:style>
  <w:style w:styleId="Style_57_ch" w:type="character">
    <w:name w:val="Название объекта"/>
    <w:basedOn w:val="Style_5_ch"/>
    <w:link w:val="Style_57"/>
    <w:rPr>
      <w:i w:val="1"/>
      <w:sz w:val="24"/>
    </w:rPr>
  </w:style>
  <w:style w:styleId="Style_58" w:type="paragraph">
    <w:name w:val="Table Heading"/>
    <w:basedOn w:val="Style_41"/>
    <w:link w:val="Style_58_ch"/>
    <w:pPr>
      <w:ind/>
      <w:jc w:val="center"/>
    </w:pPr>
    <w:rPr>
      <w:b w:val="1"/>
    </w:rPr>
  </w:style>
  <w:style w:styleId="Style_58_ch" w:type="character">
    <w:name w:val="Table Heading"/>
    <w:basedOn w:val="Style_41_ch"/>
    <w:link w:val="Style_58"/>
    <w:rPr>
      <w:b w:val="1"/>
    </w:rPr>
  </w:style>
  <w:style w:styleId="Style_1" w:type="paragraph">
    <w:name w:val="Text body"/>
    <w:basedOn w:val="Style_4"/>
    <w:link w:val="Style_1_ch"/>
    <w:pPr>
      <w:spacing w:after="140" w:before="0" w:line="288" w:lineRule="auto"/>
      <w:ind/>
    </w:pPr>
  </w:style>
  <w:style w:styleId="Style_1_ch" w:type="character">
    <w:name w:val="Text body"/>
    <w:basedOn w:val="Style_4_ch"/>
    <w:link w:val="Style_1"/>
  </w:style>
  <w:style w:styleId="Style_59" w:type="paragraph">
    <w:name w:val="Subtitle"/>
    <w:next w:val="Style_5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Заголовок"/>
    <w:basedOn w:val="Style_5"/>
    <w:next w:val="Style_24"/>
    <w:link w:val="Style_6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0_ch" w:type="character">
    <w:name w:val="Заголовок"/>
    <w:basedOn w:val="Style_5_ch"/>
    <w:link w:val="Style_60"/>
    <w:rPr>
      <w:rFonts w:ascii="Liberation Sans" w:hAnsi="Liberation Sans"/>
      <w:sz w:val="28"/>
    </w:rPr>
  </w:style>
  <w:style w:styleId="Style_61" w:type="paragraph">
    <w:name w:val="toc 10"/>
    <w:next w:val="Style_5"/>
    <w:link w:val="Style_6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61_ch" w:type="character">
    <w:name w:val="toc 10"/>
    <w:link w:val="Style_61"/>
    <w:rPr>
      <w:rFonts w:ascii="XO Thames" w:hAnsi="XO Thames"/>
      <w:sz w:val="28"/>
    </w:rPr>
  </w:style>
  <w:style w:styleId="Style_62" w:type="paragraph">
    <w:name w:val="Title"/>
    <w:next w:val="Style_5"/>
    <w:link w:val="Style_6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2_ch" w:type="character">
    <w:name w:val="Title"/>
    <w:link w:val="Style_62"/>
    <w:rPr>
      <w:rFonts w:ascii="XO Thames" w:hAnsi="XO Thames"/>
      <w:b w:val="1"/>
      <w:caps w:val="1"/>
      <w:sz w:val="40"/>
    </w:rPr>
  </w:style>
  <w:style w:styleId="Style_63" w:type="paragraph">
    <w:name w:val="heading 4"/>
    <w:next w:val="Style_5"/>
    <w:link w:val="Style_6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3_ch" w:type="character">
    <w:name w:val="heading 4"/>
    <w:link w:val="Style_63"/>
    <w:rPr>
      <w:rFonts w:ascii="XO Thames" w:hAnsi="XO Thames"/>
      <w:b w:val="1"/>
      <w:sz w:val="24"/>
    </w:rPr>
  </w:style>
  <w:style w:styleId="Style_64" w:type="paragraph">
    <w:name w:val="Default Paragraph Font"/>
    <w:link w:val="Style_64_ch"/>
  </w:style>
  <w:style w:styleId="Style_64_ch" w:type="character">
    <w:name w:val="Default Paragraph Font"/>
    <w:link w:val="Style_64"/>
  </w:style>
  <w:style w:styleId="Style_65" w:type="paragraph">
    <w:name w:val="heading 2"/>
    <w:next w:val="Style_5"/>
    <w:link w:val="Style_6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5_ch" w:type="character">
    <w:name w:val="heading 2"/>
    <w:link w:val="Style_65"/>
    <w:rPr>
      <w:rFonts w:ascii="XO Thames" w:hAnsi="XO Thames"/>
      <w:b w:val="1"/>
      <w:sz w:val="28"/>
    </w:rPr>
  </w:style>
  <w:style w:styleId="Style_66" w:type="paragraph">
    <w:name w:val="Index"/>
    <w:basedOn w:val="Style_4"/>
    <w:link w:val="Style_66_ch"/>
    <w:rPr>
      <w:sz w:val="24"/>
    </w:rPr>
  </w:style>
  <w:style w:styleId="Style_66_ch" w:type="character">
    <w:name w:val="Index"/>
    <w:basedOn w:val="Style_4_ch"/>
    <w:link w:val="Style_66"/>
    <w:rPr>
      <w:sz w:val="24"/>
    </w:rPr>
  </w:style>
  <w:style w:styleId="Style_67" w:type="paragraph">
    <w:name w:val="Текст выноски Знак"/>
    <w:link w:val="Style_67_ch"/>
    <w:rPr>
      <w:rFonts w:ascii="Segoe UI" w:hAnsi="Segoe UI"/>
      <w:sz w:val="18"/>
    </w:rPr>
  </w:style>
  <w:style w:styleId="Style_67_ch" w:type="character">
    <w:name w:val="Текст выноски Знак"/>
    <w:link w:val="Style_67"/>
    <w:rPr>
      <w:rFonts w:ascii="Segoe UI" w:hAnsi="Segoe UI"/>
      <w:sz w:val="18"/>
    </w:rPr>
  </w:style>
  <w:style w:styleId="Style_68" w:type="paragraph">
    <w:name w:val="No Spacing"/>
    <w:link w:val="Style_68_ch"/>
    <w:pPr>
      <w:widowControl w:val="1"/>
      <w:ind/>
    </w:pPr>
    <w:rPr>
      <w:rFonts w:ascii="Calibri" w:hAnsi="Calibri"/>
      <w:color w:val="00000A"/>
      <w:sz w:val="24"/>
    </w:rPr>
  </w:style>
  <w:style w:styleId="Style_68_ch" w:type="character">
    <w:name w:val="No Spacing"/>
    <w:link w:val="Style_68"/>
    <w:rPr>
      <w:rFonts w:ascii="Calibri" w:hAnsi="Calibri"/>
      <w:color w:val="00000A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2022-11-03T07:39:57Z</dcterms:modified>
</cp:coreProperties>
</file>