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5528"/>
      </w:pPr>
      <w:r>
        <w:rPr>
          <w:sz w:val="22"/>
        </w:rPr>
        <w:t>УТВЕРЖДАЮ:</w:t>
      </w:r>
    </w:p>
    <w:p w14:paraId="02000000">
      <w:pPr>
        <w:ind w:firstLine="0" w:left="5528"/>
      </w:pPr>
      <w:r>
        <w:rPr>
          <w:sz w:val="22"/>
        </w:rPr>
        <w:t>И.о</w:t>
      </w:r>
      <w:r>
        <w:rPr>
          <w:sz w:val="22"/>
        </w:rPr>
        <w:t xml:space="preserve">. директора </w:t>
      </w:r>
    </w:p>
    <w:p w14:paraId="03000000">
      <w:pPr>
        <w:ind w:firstLine="0" w:left="5528"/>
      </w:pPr>
      <w:r>
        <w:rPr>
          <w:sz w:val="22"/>
        </w:rPr>
        <w:t>КОГАУ «ЦООД «Вятские каникулы»</w:t>
      </w:r>
    </w:p>
    <w:p w14:paraId="04000000">
      <w:pPr>
        <w:ind w:firstLine="0" w:left="5528"/>
      </w:pPr>
      <w:r>
        <w:rPr>
          <w:sz w:val="22"/>
        </w:rPr>
        <w:t>_________________ И.В. Ларионов</w:t>
      </w:r>
    </w:p>
    <w:p w14:paraId="05000000">
      <w:pPr>
        <w:ind w:firstLine="0" w:left="5040"/>
        <w:jc w:val="right"/>
        <w:rPr>
          <w:sz w:val="22"/>
        </w:rPr>
      </w:pPr>
    </w:p>
    <w:p w14:paraId="06000000">
      <w:pPr>
        <w:pStyle w:val="Style_1"/>
        <w:ind/>
        <w:jc w:val="center"/>
      </w:pPr>
      <w:r>
        <w:rPr>
          <w:rFonts w:ascii="Times New Roman" w:hAnsi="Times New Roman"/>
          <w:b w:val="1"/>
        </w:rPr>
        <w:t>Техническая часть (Аукционное задание)</w:t>
      </w:r>
    </w:p>
    <w:p w14:paraId="07000000">
      <w:pPr>
        <w:pStyle w:val="Style_1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Поставка дизельных генераторов</w:t>
      </w:r>
    </w:p>
    <w:p w14:paraId="08000000">
      <w:pPr>
        <w:ind w:firstLine="0" w:left="4331"/>
        <w:jc w:val="right"/>
        <w:rPr>
          <w:sz w:val="22"/>
        </w:rPr>
      </w:pPr>
    </w:p>
    <w:tbl>
      <w:tblPr>
        <w:tblStyle w:val="Style_2"/>
        <w:tblInd w:type="dxa" w:w="-10"/>
        <w:tblLayout w:type="fixed"/>
      </w:tblPr>
      <w:tblGrid>
        <w:gridCol w:w="540"/>
        <w:gridCol w:w="2120"/>
        <w:gridCol w:w="5412"/>
        <w:gridCol w:w="648"/>
        <w:gridCol w:w="645"/>
      </w:tblGrid>
      <w:tr>
        <w:trPr>
          <w:trHeight w:hRule="atLeast" w:val="553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</w:pPr>
            <w:r>
              <w:rPr>
                <w:b w:val="1"/>
                <w:color w:val="000000"/>
                <w:sz w:val="22"/>
              </w:rPr>
              <w:t>№ п/п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</w:pPr>
            <w:r>
              <w:rPr>
                <w:b w:val="1"/>
                <w:color w:val="000000"/>
                <w:sz w:val="22"/>
              </w:rPr>
              <w:t>Наименование товара</w:t>
            </w:r>
          </w:p>
        </w:tc>
        <w:tc>
          <w:tcPr>
            <w:tcW w:type="dxa" w:w="54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0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</w:rPr>
              <w:t xml:space="preserve">Требования к </w:t>
            </w:r>
            <w:r>
              <w:rPr>
                <w:rFonts w:ascii="Times New Roman" w:hAnsi="Times New Roman"/>
                <w:b w:val="1"/>
              </w:rPr>
              <w:t>характеристикам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</w:pPr>
            <w:r>
              <w:rPr>
                <w:b w:val="1"/>
                <w:color w:val="000000"/>
                <w:sz w:val="22"/>
              </w:rPr>
              <w:t>Ед. изм.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ind/>
              <w:jc w:val="center"/>
            </w:pPr>
            <w:r>
              <w:rPr>
                <w:b w:val="1"/>
                <w:color w:val="000000"/>
                <w:sz w:val="22"/>
              </w:rPr>
              <w:t>Кол-во</w:t>
            </w:r>
          </w:p>
        </w:tc>
      </w:tr>
      <w:tr>
        <w:trPr>
          <w:trHeight w:hRule="atLeast" w:val="1751"/>
        </w:trPr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212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Дизельный генератор</w:t>
            </w:r>
          </w:p>
        </w:tc>
        <w:tc>
          <w:tcPr>
            <w:tcW w:type="dxa" w:w="541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0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Исполнение дизельной электростанции в </w:t>
            </w:r>
            <w:r>
              <w:rPr>
                <w:b w:val="1"/>
                <w:i w:val="1"/>
                <w:color w:val="000000"/>
              </w:rPr>
              <w:t>кожухе</w:t>
            </w:r>
            <w:r>
              <w:rPr>
                <w:b w:val="1"/>
                <w:i w:val="1"/>
                <w:color w:val="000000"/>
              </w:rPr>
              <w:t>:</w:t>
            </w:r>
          </w:p>
          <w:p w14:paraId="1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номинальная мощность: </w:t>
            </w:r>
            <w:r>
              <w:rPr>
                <w:rStyle w:val="Style_3_ch"/>
                <w:color w:val="000000"/>
                <w:u w:val="none"/>
              </w:rPr>
              <w:fldChar w:fldCharType="begin"/>
            </w:r>
            <w:r>
              <w:rPr>
                <w:rStyle w:val="Style_3_ch"/>
                <w:color w:val="000000"/>
                <w:u w:val="none"/>
              </w:rPr>
              <w:instrText>HYPERLINK "https://td.eag.su/catalog/dizelnye-generatory/dizel-generatory-100-kvt"</w:instrText>
            </w:r>
            <w:r>
              <w:rPr>
                <w:rStyle w:val="Style_3_ch"/>
                <w:color w:val="000000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u w:val="none"/>
              </w:rPr>
              <w:t>не менее 100 кВт</w:t>
            </w:r>
            <w:r>
              <w:rPr>
                <w:rStyle w:val="Style_3_ch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 (125 </w:t>
            </w:r>
            <w:r>
              <w:rPr>
                <w:color w:val="000000"/>
              </w:rPr>
              <w:t>кВа</w:t>
            </w:r>
            <w:r>
              <w:rPr>
                <w:color w:val="000000"/>
              </w:rPr>
              <w:t>);</w:t>
            </w:r>
          </w:p>
          <w:p w14:paraId="12000000">
            <w:pPr>
              <w:rPr>
                <w:color w:val="000000"/>
              </w:rPr>
            </w:pPr>
            <w:r>
              <w:rPr>
                <w:color w:val="000000"/>
              </w:rPr>
              <w:t>- номинальный ток: не менее 180 А;</w:t>
            </w:r>
          </w:p>
          <w:p w14:paraId="13000000">
            <w:pPr>
              <w:rPr>
                <w:color w:val="000000"/>
              </w:rPr>
            </w:pPr>
            <w:r>
              <w:rPr>
                <w:color w:val="000000"/>
              </w:rPr>
              <w:t>- допускаемая перегрузка в течении часа: не более 10%;</w:t>
            </w:r>
          </w:p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- частота вращения: не более 1500 об/мин;</w:t>
            </w:r>
          </w:p>
          <w:p w14:paraId="15000000">
            <w:pPr>
              <w:rPr>
                <w:color w:val="000000"/>
              </w:rPr>
            </w:pPr>
            <w:r>
              <w:rPr>
                <w:color w:val="000000"/>
              </w:rPr>
              <w:t>- род тока: трехфазны</w:t>
            </w:r>
            <w:r>
              <w:rPr>
                <w:color w:val="000000"/>
              </w:rPr>
              <w:t>й, переменный, частотой не более 50 Гц;</w:t>
            </w:r>
          </w:p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- напряжение на клеммах: не более 400 В;</w:t>
            </w:r>
          </w:p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габаритные размеры агрегата: 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>ширина не более 1150 мм</w:t>
            </w:r>
          </w:p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длина не более 300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мм</w:t>
            </w:r>
          </w:p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высота не более 145</w:t>
            </w:r>
            <w:r>
              <w:rPr>
                <w:color w:val="000000"/>
              </w:rPr>
              <w:t>0 мм</w:t>
            </w:r>
          </w:p>
          <w:p w14:paraId="1B000000">
            <w:pPr>
              <w:rPr>
                <w:color w:val="000000"/>
              </w:rPr>
            </w:pPr>
            <w:r>
              <w:rPr>
                <w:color w:val="000000"/>
              </w:rPr>
              <w:t>- ёмкость масляной системы: не менее 16,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л;</w:t>
            </w:r>
          </w:p>
          <w:p w14:paraId="1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ёмкость системы </w:t>
            </w:r>
            <w:r>
              <w:rPr>
                <w:color w:val="000000"/>
              </w:rPr>
              <w:t>охлаждения: не менее 22 л;</w:t>
            </w:r>
          </w:p>
          <w:p w14:paraId="1D000000">
            <w:pPr>
              <w:rPr>
                <w:color w:val="000000"/>
              </w:rPr>
            </w:pPr>
            <w:r>
              <w:rPr>
                <w:color w:val="000000"/>
              </w:rPr>
              <w:t>- встроенный в раму топливный бак: не менее 22</w:t>
            </w:r>
            <w:r>
              <w:rPr>
                <w:color w:val="000000"/>
              </w:rPr>
              <w:t>0 л;</w:t>
            </w:r>
          </w:p>
          <w:p w14:paraId="1E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система охлаждения: </w:t>
            </w:r>
            <w:r>
              <w:rPr>
                <w:color w:val="000000"/>
              </w:rPr>
              <w:t>водовоздушная</w:t>
            </w:r>
            <w:r>
              <w:rPr>
                <w:color w:val="000000"/>
              </w:rPr>
              <w:t xml:space="preserve"> и/или жидкостная;</w:t>
            </w:r>
          </w:p>
          <w:p w14:paraId="1F000000">
            <w:pPr>
              <w:rPr>
                <w:color w:val="000000"/>
              </w:rPr>
            </w:pPr>
            <w:r>
              <w:rPr>
                <w:color w:val="000000"/>
              </w:rPr>
              <w:t>- подогреватель охлаждающей жидкости:  автономный;</w:t>
            </w:r>
          </w:p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- степень автоматизации: вторая (автоматический ввод резерва при пропадан</w:t>
            </w:r>
            <w:r>
              <w:rPr>
                <w:color w:val="000000"/>
              </w:rPr>
              <w:t>ии промышленной сети или отклонении её параметров от заданных);</w:t>
            </w:r>
          </w:p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>- система запуска – электростартер не менее 24 В;</w:t>
            </w:r>
          </w:p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>- управление должно быть обеспечено с помощью микропроцессорного контроллера с жидкокристаллическим  дисплеем;</w:t>
            </w:r>
          </w:p>
          <w:p w14:paraId="2300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Обеспечение работоспособности :</w:t>
            </w:r>
          </w:p>
          <w:p w14:paraId="24000000">
            <w:pPr>
              <w:rPr>
                <w:color w:val="000000"/>
              </w:rPr>
            </w:pPr>
            <w:r>
              <w:rPr>
                <w:color w:val="000000"/>
              </w:rPr>
              <w:t>- автоматическая остановка двигателя при выходе параметров за аварийные значения;</w:t>
            </w:r>
          </w:p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>- контроль частоты, напряжения и тока генератора;</w:t>
            </w:r>
          </w:p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>- контроль температуры охлаждающей жидкости, давления масла, уровня топлива;</w:t>
            </w:r>
          </w:p>
          <w:p w14:paraId="27000000">
            <w:pPr>
              <w:rPr>
                <w:color w:val="000000"/>
              </w:rPr>
            </w:pPr>
            <w:r>
              <w:rPr>
                <w:color w:val="000000"/>
              </w:rPr>
              <w:t>- генератор подзарядки аккумуляторных батарей:</w:t>
            </w:r>
            <w:r>
              <w:rPr>
                <w:color w:val="000000"/>
              </w:rPr>
              <w:t xml:space="preserve"> не менее 24 В;</w:t>
            </w:r>
          </w:p>
          <w:p w14:paraId="2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количество аккумуляторных батарей: не менее 2 </w:t>
            </w:r>
            <w:r>
              <w:rPr>
                <w:color w:val="000000"/>
              </w:rPr>
              <w:t>шт</w:t>
            </w:r>
            <w:r>
              <w:rPr>
                <w:color w:val="000000"/>
              </w:rPr>
              <w:t>;</w:t>
            </w:r>
          </w:p>
          <w:p w14:paraId="2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двигатель: четырехтактный дизельный с </w:t>
            </w:r>
            <w:r>
              <w:rPr>
                <w:color w:val="000000"/>
              </w:rPr>
              <w:t>турбонадувом</w:t>
            </w:r>
            <w:r>
              <w:rPr>
                <w:color w:val="000000"/>
              </w:rPr>
              <w:t>;</w:t>
            </w:r>
          </w:p>
          <w:p w14:paraId="2A00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Двигатель:</w:t>
            </w:r>
          </w:p>
          <w:p w14:paraId="2B000000">
            <w:pPr>
              <w:rPr>
                <w:color w:val="000000"/>
              </w:rPr>
            </w:pPr>
            <w:r>
              <w:rPr>
                <w:color w:val="000000"/>
              </w:rPr>
              <w:t>- число цилиндров: не менее 4</w:t>
            </w:r>
            <w:r>
              <w:rPr>
                <w:color w:val="000000"/>
              </w:rPr>
              <w:t xml:space="preserve"> вертикально в ряд;</w:t>
            </w:r>
          </w:p>
          <w:p w14:paraId="2C000000">
            <w:pPr>
              <w:rPr>
                <w:color w:val="000000"/>
              </w:rPr>
            </w:pPr>
            <w:r>
              <w:rPr>
                <w:color w:val="000000"/>
              </w:rPr>
              <w:t>- диаметр цилиндра: не более 116</w:t>
            </w:r>
            <w:r>
              <w:rPr>
                <w:color w:val="000000"/>
              </w:rPr>
              <w:t xml:space="preserve"> мм;</w:t>
            </w:r>
          </w:p>
          <w:p w14:paraId="2D000000">
            <w:pPr>
              <w:rPr>
                <w:color w:val="000000"/>
              </w:rPr>
            </w:pPr>
            <w:r>
              <w:rPr>
                <w:color w:val="000000"/>
              </w:rPr>
              <w:t>- ход поршня: не более 153</w:t>
            </w:r>
            <w:r>
              <w:rPr>
                <w:color w:val="000000"/>
              </w:rPr>
              <w:t xml:space="preserve"> мм;</w:t>
            </w:r>
          </w:p>
          <w:p w14:paraId="2E000000">
            <w:pPr>
              <w:rPr>
                <w:color w:val="000000"/>
              </w:rPr>
            </w:pPr>
            <w:r>
              <w:rPr>
                <w:color w:val="000000"/>
              </w:rPr>
              <w:t>- объе</w:t>
            </w:r>
            <w:r>
              <w:rPr>
                <w:color w:val="000000"/>
              </w:rPr>
              <w:t>м цилиндров: не менее 5,9</w:t>
            </w:r>
            <w:r>
              <w:rPr>
                <w:color w:val="000000"/>
              </w:rPr>
              <w:t xml:space="preserve"> л;</w:t>
            </w:r>
          </w:p>
          <w:p w14:paraId="2F000000">
            <w:pPr>
              <w:rPr>
                <w:color w:val="000000"/>
              </w:rPr>
            </w:pPr>
            <w:r>
              <w:rPr>
                <w:color w:val="000000"/>
              </w:rPr>
              <w:t>- регулятор оборотов двигателя: электронный и/или механический</w:t>
            </w:r>
          </w:p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>- топливо: дизельное</w:t>
            </w:r>
          </w:p>
          <w:p w14:paraId="31000000">
            <w:pPr>
              <w:rPr>
                <w:color w:val="000000"/>
              </w:rPr>
            </w:pPr>
            <w:r>
              <w:rPr>
                <w:color w:val="000000"/>
              </w:rPr>
              <w:t>- расход топлива: не более 240 г/</w:t>
            </w:r>
            <w:r>
              <w:rPr>
                <w:color w:val="000000"/>
              </w:rPr>
              <w:t>кВт.ч</w:t>
            </w:r>
            <w:r>
              <w:rPr>
                <w:color w:val="000000"/>
              </w:rPr>
              <w:t>;</w:t>
            </w:r>
          </w:p>
          <w:p w14:paraId="32000000">
            <w:pPr>
              <w:rPr>
                <w:color w:val="000000"/>
              </w:rPr>
            </w:pPr>
            <w:r>
              <w:rPr>
                <w:color w:val="000000"/>
              </w:rPr>
              <w:t>- расход масла: не более  1,63% от топлива;</w:t>
            </w:r>
          </w:p>
          <w:p w14:paraId="33000000">
            <w:pPr>
              <w:rPr>
                <w:color w:val="000000"/>
              </w:rPr>
            </w:pPr>
            <w:r>
              <w:rPr>
                <w:color w:val="000000"/>
              </w:rPr>
              <w:t>- генератор: синхронный бесщеточный;</w:t>
            </w:r>
          </w:p>
          <w:p w14:paraId="34000000">
            <w:pPr>
              <w:rPr>
                <w:color w:val="000000"/>
              </w:rPr>
            </w:pPr>
            <w:r>
              <w:rPr>
                <w:color w:val="000000"/>
              </w:rPr>
              <w:t>- тип регулятора напряжения: электронный;</w:t>
            </w:r>
          </w:p>
          <w:p w14:paraId="35000000">
            <w:pPr>
              <w:rPr>
                <w:color w:val="000000"/>
              </w:rPr>
            </w:pPr>
            <w:r>
              <w:rPr>
                <w:color w:val="000000"/>
              </w:rPr>
              <w:t>- номинальная мощность: не менее 100 кВт</w:t>
            </w:r>
          </w:p>
          <w:p w14:paraId="36000000">
            <w:pPr>
              <w:rPr>
                <w:color w:val="000000"/>
              </w:rPr>
            </w:pPr>
            <w:r>
              <w:rPr>
                <w:color w:val="000000"/>
              </w:rPr>
              <w:t>- частота вращения  не более 1500 об/мин</w:t>
            </w:r>
          </w:p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- тип системы возбуждения: самовозбуждение.</w:t>
            </w:r>
          </w:p>
          <w:p w14:paraId="3800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Контроллер: </w:t>
            </w:r>
          </w:p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Язык интерфейса контроллера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Русский </w:t>
            </w:r>
            <w:r>
              <w:rPr>
                <w:color w:val="000000"/>
              </w:rPr>
              <w:t>–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Потребляемая мощность, </w:t>
            </w:r>
            <w:r>
              <w:rPr>
                <w:color w:val="000000"/>
              </w:rPr>
              <w:t xml:space="preserve">не более 3 </w:t>
            </w:r>
            <w:r>
              <w:rPr>
                <w:color w:val="000000"/>
              </w:rPr>
              <w:t>Вт</w:t>
            </w:r>
          </w:p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- Требуемые сигналы:</w:t>
            </w:r>
          </w:p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Сигнал тревоги - неудачный запуск ДГУ</w:t>
            </w:r>
          </w:p>
          <w:p w14:paraId="3D000000">
            <w:pPr>
              <w:rPr>
                <w:color w:val="000000"/>
              </w:rPr>
            </w:pPr>
            <w:r>
              <w:rPr>
                <w:color w:val="000000"/>
              </w:rPr>
              <w:t>Звуковой сигнал общей аварии</w:t>
            </w:r>
          </w:p>
          <w:p w14:paraId="3E000000">
            <w:pPr>
              <w:rPr>
                <w:color w:val="000000"/>
              </w:rPr>
            </w:pPr>
            <w:r>
              <w:rPr>
                <w:color w:val="000000"/>
              </w:rPr>
              <w:t>Сигнал тревоги - общее предупреждение</w:t>
            </w:r>
          </w:p>
          <w:p w14:paraId="3F000000">
            <w:pPr>
              <w:rPr>
                <w:color w:val="000000"/>
              </w:rPr>
            </w:pPr>
            <w:r>
              <w:rPr>
                <w:color w:val="000000"/>
              </w:rPr>
              <w:t>Контроль напряжения АКБ</w:t>
            </w:r>
            <w:r>
              <w:rPr>
                <w:color w:val="000000"/>
              </w:rPr>
              <w:tab/>
            </w:r>
          </w:p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Частотомер</w:t>
            </w:r>
          </w:p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Счетчик часов наработки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Счётчик выработанной электроэнергии (кВт/ч)</w:t>
            </w:r>
            <w:r>
              <w:rPr>
                <w:color w:val="000000"/>
              </w:rPr>
              <w:tab/>
            </w:r>
          </w:p>
          <w:p w14:paraId="43000000">
            <w:pPr>
              <w:rPr>
                <w:color w:val="000000"/>
              </w:rPr>
            </w:pPr>
            <w:r>
              <w:rPr>
                <w:color w:val="000000"/>
              </w:rPr>
              <w:t>Индикация силы тока</w:t>
            </w:r>
            <w:r>
              <w:rPr>
                <w:color w:val="000000"/>
              </w:rPr>
              <w:tab/>
            </w:r>
          </w:p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Индикация числа оборотов двигателя</w:t>
            </w:r>
          </w:p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>Индикация температуры охлаждающей жидкости</w:t>
            </w:r>
          </w:p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>Индикация давления масла</w:t>
            </w:r>
            <w:r>
              <w:rPr>
                <w:color w:val="000000"/>
              </w:rPr>
              <w:tab/>
            </w:r>
          </w:p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Индикация напряжения аккумулятора (В)</w:t>
            </w:r>
          </w:p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>Индикация активной мощности по 3ф. (кВт)</w:t>
            </w:r>
          </w:p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>Индикация мощности (кВт)</w:t>
            </w:r>
          </w:p>
          <w:p w14:paraId="4A00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Конструкция ко</w:t>
            </w:r>
            <w:r>
              <w:rPr>
                <w:b w:val="1"/>
                <w:i w:val="1"/>
                <w:color w:val="000000"/>
              </w:rPr>
              <w:t>жуха</w:t>
            </w:r>
            <w:r>
              <w:rPr>
                <w:b w:val="1"/>
                <w:i w:val="1"/>
                <w:color w:val="000000"/>
              </w:rPr>
              <w:t>:</w:t>
            </w:r>
          </w:p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габаритные размеры </w:t>
            </w:r>
            <w:r>
              <w:rPr>
                <w:color w:val="000000"/>
              </w:rPr>
              <w:t>кожуха</w:t>
            </w:r>
            <w:r>
              <w:rPr>
                <w:color w:val="000000"/>
              </w:rPr>
              <w:t xml:space="preserve">: </w:t>
            </w:r>
          </w:p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ширина не более 1150</w:t>
            </w:r>
            <w:r>
              <w:rPr>
                <w:color w:val="000000"/>
              </w:rPr>
              <w:t xml:space="preserve"> мм</w:t>
            </w:r>
          </w:p>
          <w:p w14:paraId="4D000000">
            <w:pPr>
              <w:rPr>
                <w:color w:val="000000"/>
              </w:rPr>
            </w:pPr>
            <w:r>
              <w:rPr>
                <w:color w:val="000000"/>
              </w:rPr>
              <w:t>длина не более 3000</w:t>
            </w:r>
            <w:r>
              <w:rPr>
                <w:color w:val="000000"/>
              </w:rPr>
              <w:t xml:space="preserve"> мм</w:t>
            </w:r>
          </w:p>
          <w:p w14:paraId="4E000000">
            <w:pPr>
              <w:rPr>
                <w:color w:val="000000"/>
              </w:rPr>
            </w:pPr>
            <w:r>
              <w:rPr>
                <w:color w:val="000000"/>
              </w:rPr>
              <w:t>высота не более 1600</w:t>
            </w:r>
            <w:r>
              <w:rPr>
                <w:color w:val="000000"/>
              </w:rPr>
              <w:t xml:space="preserve"> мм</w:t>
            </w:r>
          </w:p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>- материал сталь</w:t>
            </w:r>
          </w:p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>- обслуживаемые окна с двух сторон</w:t>
            </w:r>
          </w:p>
          <w:p w14:paraId="51000000">
            <w:pPr>
              <w:rPr>
                <w:color w:val="000000"/>
              </w:rPr>
            </w:pPr>
            <w:r>
              <w:rPr>
                <w:color w:val="000000"/>
              </w:rPr>
              <w:t>- должен обеспечивать защиту от осадков</w:t>
            </w:r>
          </w:p>
          <w:p w14:paraId="52000000">
            <w:pPr>
              <w:rPr>
                <w:color w:val="000000"/>
              </w:rPr>
            </w:pPr>
            <w:r>
              <w:rPr>
                <w:color w:val="000000"/>
              </w:rPr>
              <w:t>- наличие закрывающегося замка на окнах обслуживания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</w:pPr>
            <w:r>
              <w:t>9</w:t>
            </w:r>
          </w:p>
        </w:tc>
      </w:tr>
    </w:tbl>
    <w:p w14:paraId="55000000">
      <w:bookmarkStart w:id="1" w:name="_GoBack"/>
      <w:bookmarkEnd w:id="1"/>
    </w:p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A"/>
      <w:sz w:val="24"/>
    </w:rPr>
  </w:style>
  <w:style w:default="1" w:styleId="Style_4_ch" w:type="character">
    <w:name w:val="Normal"/>
    <w:link w:val="Style_4"/>
    <w:rPr>
      <w:color w:val="00000A"/>
      <w:sz w:val="24"/>
    </w:rPr>
  </w:style>
  <w:style w:styleId="Style_5" w:type="paragraph">
    <w:name w:val="caption"/>
    <w:basedOn w:val="Style_4"/>
    <w:link w:val="Style_5_ch"/>
    <w:pPr>
      <w:spacing w:after="120" w:before="120"/>
      <w:ind/>
    </w:pPr>
    <w:rPr>
      <w:i w:val="1"/>
    </w:rPr>
  </w:style>
  <w:style w:styleId="Style_5_ch" w:type="character">
    <w:name w:val="caption"/>
    <w:basedOn w:val="Style_4_ch"/>
    <w:link w:val="Style_5"/>
    <w:rPr>
      <w:i w:val="1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10" w:type="paragraph">
    <w:name w:val="Указатель1"/>
    <w:basedOn w:val="Style_4"/>
    <w:link w:val="Style_10_ch"/>
  </w:style>
  <w:style w:styleId="Style_10_ch" w:type="character">
    <w:name w:val="Указатель1"/>
    <w:basedOn w:val="Style_4_ch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Содержимое таблицы"/>
    <w:basedOn w:val="Style_4"/>
    <w:link w:val="Style_13_ch"/>
  </w:style>
  <w:style w:styleId="Style_13_ch" w:type="character">
    <w:name w:val="Содержимое таблицы"/>
    <w:basedOn w:val="Style_4_ch"/>
    <w:link w:val="Style_13"/>
  </w:style>
  <w:style w:styleId="Style_14" w:type="paragraph">
    <w:name w:val="Обычный1"/>
    <w:link w:val="Style_14_ch"/>
    <w:rPr>
      <w:color w:val="00000A"/>
      <w:sz w:val="24"/>
    </w:rPr>
  </w:style>
  <w:style w:styleId="Style_14_ch" w:type="character">
    <w:name w:val="Обычный1"/>
    <w:link w:val="Style_14"/>
    <w:rPr>
      <w:color w:val="00000A"/>
      <w:sz w:val="24"/>
    </w:rPr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Заголовок1"/>
    <w:basedOn w:val="Style_4"/>
    <w:next w:val="Style_20"/>
    <w:link w:val="Style_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_ch" w:type="character">
    <w:name w:val="Заголовок1"/>
    <w:basedOn w:val="Style_4_ch"/>
    <w:link w:val="Style_19"/>
    <w:rPr>
      <w:rFonts w:ascii="Liberation Sans" w:hAnsi="Liberation Sans"/>
      <w:sz w:val="28"/>
    </w:rPr>
  </w:style>
  <w:style w:styleId="Style_21" w:type="paragraph">
    <w:name w:val="heading 1"/>
    <w:next w:val="Style_4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Заголовок таблицы"/>
    <w:basedOn w:val="Style_13"/>
    <w:link w:val="Style_22_ch"/>
    <w:pPr>
      <w:ind/>
      <w:jc w:val="center"/>
    </w:pPr>
    <w:rPr>
      <w:b w:val="1"/>
    </w:rPr>
  </w:style>
  <w:style w:styleId="Style_22_ch" w:type="character">
    <w:name w:val="Заголовок таблицы"/>
    <w:basedOn w:val="Style_13_ch"/>
    <w:link w:val="Style_22"/>
    <w:rPr>
      <w:b w:val="1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4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0" w:type="paragraph">
    <w:name w:val="Body Text"/>
    <w:basedOn w:val="Style_4"/>
    <w:link w:val="Style_20_ch"/>
    <w:pPr>
      <w:spacing w:after="140" w:line="276" w:lineRule="auto"/>
      <w:ind/>
    </w:pPr>
  </w:style>
  <w:style w:styleId="Style_20_ch" w:type="character">
    <w:name w:val="Body Text"/>
    <w:basedOn w:val="Style_4_ch"/>
    <w:link w:val="Style_20"/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Текст выноски Знак"/>
    <w:link w:val="Style_29_ch"/>
    <w:rPr>
      <w:rFonts w:ascii="Tahoma" w:hAnsi="Tahoma"/>
      <w:color w:val="00000A"/>
      <w:sz w:val="16"/>
    </w:rPr>
  </w:style>
  <w:style w:styleId="Style_29_ch" w:type="character">
    <w:name w:val="Текст выноски Знак"/>
    <w:link w:val="Style_29"/>
    <w:rPr>
      <w:rFonts w:ascii="Tahoma" w:hAnsi="Tahoma"/>
      <w:color w:val="00000A"/>
      <w:sz w:val="16"/>
    </w:rPr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List"/>
    <w:basedOn w:val="Style_20"/>
    <w:link w:val="Style_31_ch"/>
  </w:style>
  <w:style w:styleId="Style_31_ch" w:type="character">
    <w:name w:val="List"/>
    <w:basedOn w:val="Style_20_ch"/>
    <w:link w:val="Style_31"/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oc 10"/>
    <w:next w:val="Style_4"/>
    <w:link w:val="Style_33_ch"/>
    <w:uiPriority w:val="39"/>
    <w:pPr>
      <w:ind w:firstLine="0" w:left="1800"/>
    </w:pPr>
    <w:rPr>
      <w:rFonts w:ascii="XO Thames" w:hAnsi="XO Thames"/>
      <w:sz w:val="28"/>
    </w:rPr>
  </w:style>
  <w:style w:styleId="Style_33_ch" w:type="character">
    <w:name w:val="toc 10"/>
    <w:link w:val="Style_33"/>
    <w:rPr>
      <w:rFonts w:ascii="XO Thames" w:hAnsi="XO Thames"/>
      <w:sz w:val="28"/>
    </w:rPr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2022-11-10T08:40:48Z</dcterms:modified>
</cp:coreProperties>
</file>